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55074" w14:textId="77777777" w:rsidR="007A02CE" w:rsidRDefault="007A02CE" w:rsidP="007A02CE">
      <w:pPr>
        <w:ind w:firstLine="0"/>
        <w:rPr>
          <w:rFonts w:ascii="Arial" w:hAnsi="Arial" w:cs="Arial"/>
          <w:sz w:val="28"/>
          <w:szCs w:val="28"/>
        </w:rPr>
      </w:pPr>
    </w:p>
    <w:p w14:paraId="68B8007B" w14:textId="387F985F" w:rsidR="00506EC7" w:rsidRPr="007A02CE" w:rsidRDefault="00506EC7" w:rsidP="007A02CE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A02CE">
        <w:rPr>
          <w:rFonts w:ascii="Arial" w:hAnsi="Arial" w:cs="Arial"/>
          <w:b/>
          <w:bCs/>
          <w:sz w:val="28"/>
          <w:szCs w:val="28"/>
        </w:rPr>
        <w:t>ИМЕНЕМ АЗЕРБАЙДЖАНСКОЙ РЕСПУБЛИКИ</w:t>
      </w:r>
    </w:p>
    <w:p w14:paraId="75F76032" w14:textId="77777777" w:rsidR="00506EC7" w:rsidRPr="007A02CE" w:rsidRDefault="00506EC7" w:rsidP="007A02CE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32657C" w14:textId="77777777" w:rsidR="00506EC7" w:rsidRPr="007A02CE" w:rsidRDefault="00506EC7" w:rsidP="007A02CE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A02CE">
        <w:rPr>
          <w:rFonts w:ascii="Arial" w:hAnsi="Arial" w:cs="Arial"/>
          <w:b/>
          <w:bCs/>
          <w:sz w:val="28"/>
          <w:szCs w:val="28"/>
        </w:rPr>
        <w:t>П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О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С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Т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А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Н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О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В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Л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Е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Н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И</w:t>
      </w:r>
      <w:r w:rsidR="0059494F"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2CE">
        <w:rPr>
          <w:rFonts w:ascii="Arial" w:hAnsi="Arial" w:cs="Arial"/>
          <w:b/>
          <w:bCs/>
          <w:sz w:val="28"/>
          <w:szCs w:val="28"/>
        </w:rPr>
        <w:t>Е</w:t>
      </w:r>
    </w:p>
    <w:p w14:paraId="5E6C21AF" w14:textId="77777777" w:rsidR="00506EC7" w:rsidRPr="007A02CE" w:rsidRDefault="00506EC7" w:rsidP="007A02CE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551608" w14:textId="77777777" w:rsidR="00506EC7" w:rsidRPr="007A02CE" w:rsidRDefault="00506EC7" w:rsidP="007A02CE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A02CE">
        <w:rPr>
          <w:rFonts w:ascii="Arial" w:hAnsi="Arial" w:cs="Arial"/>
          <w:b/>
          <w:bCs/>
          <w:sz w:val="28"/>
          <w:szCs w:val="28"/>
        </w:rPr>
        <w:t>ПЛЕНУМА КОНСТИТУЦИОННОГО СУДА</w:t>
      </w:r>
    </w:p>
    <w:p w14:paraId="5C3B1A7B" w14:textId="77777777" w:rsidR="00506EC7" w:rsidRPr="007A02CE" w:rsidRDefault="00506EC7" w:rsidP="007A02CE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A02CE">
        <w:rPr>
          <w:rFonts w:ascii="Arial" w:hAnsi="Arial" w:cs="Arial"/>
          <w:b/>
          <w:bCs/>
          <w:sz w:val="28"/>
          <w:szCs w:val="28"/>
        </w:rPr>
        <w:t>АЗЕРБАЙДЖАНСКОЙ РЕСПУБЛИКИ</w:t>
      </w:r>
    </w:p>
    <w:p w14:paraId="6273B7F9" w14:textId="77777777" w:rsidR="00326DE9" w:rsidRPr="007A02CE" w:rsidRDefault="00326DE9" w:rsidP="007A02CE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65BCC1" w14:textId="77777777" w:rsidR="005C754C" w:rsidRPr="007A02CE" w:rsidRDefault="005C754C" w:rsidP="007A02CE">
      <w:pPr>
        <w:ind w:firstLine="0"/>
        <w:jc w:val="center"/>
        <w:rPr>
          <w:rFonts w:ascii="Arial" w:hAnsi="Arial" w:cs="Arial"/>
          <w:i/>
          <w:iCs/>
          <w:sz w:val="28"/>
          <w:szCs w:val="28"/>
        </w:rPr>
      </w:pPr>
      <w:r w:rsidRPr="007A02CE">
        <w:rPr>
          <w:rFonts w:ascii="Arial" w:hAnsi="Arial" w:cs="Arial"/>
          <w:i/>
          <w:iCs/>
          <w:sz w:val="28"/>
          <w:szCs w:val="28"/>
        </w:rPr>
        <w:t xml:space="preserve">О </w:t>
      </w:r>
      <w:proofErr w:type="spellStart"/>
      <w:r w:rsidRPr="007A02CE">
        <w:rPr>
          <w:rFonts w:ascii="Arial" w:hAnsi="Arial" w:cs="Arial"/>
          <w:i/>
          <w:iCs/>
          <w:sz w:val="28"/>
          <w:szCs w:val="28"/>
        </w:rPr>
        <w:t>толковании</w:t>
      </w:r>
      <w:proofErr w:type="spellEnd"/>
      <w:r w:rsidRPr="007A02CE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i/>
          <w:iCs/>
          <w:sz w:val="28"/>
          <w:szCs w:val="28"/>
        </w:rPr>
        <w:t>некоторых</w:t>
      </w:r>
      <w:proofErr w:type="spellEnd"/>
      <w:r w:rsidRPr="007A02CE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i/>
          <w:iCs/>
          <w:sz w:val="28"/>
          <w:szCs w:val="28"/>
        </w:rPr>
        <w:t>положений</w:t>
      </w:r>
      <w:proofErr w:type="spellEnd"/>
      <w:r w:rsidRPr="007A02CE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i/>
          <w:iCs/>
          <w:sz w:val="28"/>
          <w:szCs w:val="28"/>
        </w:rPr>
        <w:t>статей</w:t>
      </w:r>
      <w:proofErr w:type="spellEnd"/>
      <w:r w:rsidRPr="007A02CE">
        <w:rPr>
          <w:rFonts w:ascii="Arial" w:hAnsi="Arial" w:cs="Arial"/>
          <w:i/>
          <w:iCs/>
          <w:sz w:val="28"/>
          <w:szCs w:val="28"/>
        </w:rPr>
        <w:t xml:space="preserve">  1134, 1146 и 1252 </w:t>
      </w:r>
      <w:proofErr w:type="spellStart"/>
      <w:r w:rsidRPr="007A02CE">
        <w:rPr>
          <w:rFonts w:ascii="Arial" w:hAnsi="Arial" w:cs="Arial"/>
          <w:i/>
          <w:iCs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i/>
          <w:iCs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i/>
          <w:iCs/>
          <w:sz w:val="28"/>
          <w:szCs w:val="28"/>
        </w:rPr>
        <w:t xml:space="preserve">  </w:t>
      </w:r>
      <w:proofErr w:type="spellStart"/>
      <w:r w:rsidRPr="007A02CE">
        <w:rPr>
          <w:rFonts w:ascii="Arial" w:hAnsi="Arial" w:cs="Arial"/>
          <w:i/>
          <w:iCs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i/>
          <w:iCs/>
          <w:sz w:val="28"/>
          <w:szCs w:val="28"/>
        </w:rPr>
        <w:t>Республики</w:t>
      </w:r>
      <w:proofErr w:type="spellEnd"/>
    </w:p>
    <w:p w14:paraId="3606DDCE" w14:textId="77777777" w:rsidR="005C754C" w:rsidRPr="007A02CE" w:rsidRDefault="005C754C" w:rsidP="007A02CE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77E953" w14:textId="77777777" w:rsidR="005C754C" w:rsidRPr="007A02CE" w:rsidRDefault="005C754C" w:rsidP="007A02CE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A02CE">
        <w:rPr>
          <w:rFonts w:ascii="Arial" w:hAnsi="Arial" w:cs="Arial"/>
          <w:b/>
          <w:bCs/>
          <w:sz w:val="28"/>
          <w:szCs w:val="28"/>
        </w:rPr>
        <w:t xml:space="preserve">24 </w:t>
      </w:r>
      <w:proofErr w:type="spellStart"/>
      <w:r w:rsidRPr="007A02CE">
        <w:rPr>
          <w:rFonts w:ascii="Arial" w:hAnsi="Arial" w:cs="Arial"/>
          <w:b/>
          <w:bCs/>
          <w:sz w:val="28"/>
          <w:szCs w:val="28"/>
        </w:rPr>
        <w:t>февраля</w:t>
      </w:r>
      <w:proofErr w:type="spellEnd"/>
      <w:r w:rsidRPr="007A02CE">
        <w:rPr>
          <w:rFonts w:ascii="Arial" w:hAnsi="Arial" w:cs="Arial"/>
          <w:b/>
          <w:bCs/>
          <w:sz w:val="28"/>
          <w:szCs w:val="28"/>
        </w:rPr>
        <w:t xml:space="preserve"> 2020 </w:t>
      </w:r>
      <w:proofErr w:type="spellStart"/>
      <w:r w:rsidRPr="007A02CE">
        <w:rPr>
          <w:rFonts w:ascii="Arial" w:hAnsi="Arial" w:cs="Arial"/>
          <w:b/>
          <w:bCs/>
          <w:sz w:val="28"/>
          <w:szCs w:val="28"/>
        </w:rPr>
        <w:t>года</w:t>
      </w:r>
      <w:proofErr w:type="spellEnd"/>
      <w:r w:rsidRPr="007A02CE">
        <w:rPr>
          <w:rFonts w:ascii="Arial" w:hAnsi="Arial" w:cs="Arial"/>
          <w:b/>
          <w:bCs/>
          <w:sz w:val="28"/>
          <w:szCs w:val="28"/>
        </w:rPr>
        <w:tab/>
      </w:r>
      <w:r w:rsidRPr="007A02CE">
        <w:rPr>
          <w:rFonts w:ascii="Arial" w:hAnsi="Arial" w:cs="Arial"/>
          <w:b/>
          <w:bCs/>
          <w:sz w:val="28"/>
          <w:szCs w:val="28"/>
        </w:rPr>
        <w:tab/>
      </w:r>
      <w:r w:rsidRPr="007A02CE">
        <w:rPr>
          <w:rFonts w:ascii="Arial" w:hAnsi="Arial" w:cs="Arial"/>
          <w:b/>
          <w:bCs/>
          <w:sz w:val="28"/>
          <w:szCs w:val="28"/>
        </w:rPr>
        <w:tab/>
      </w:r>
      <w:r w:rsidRPr="007A02CE">
        <w:rPr>
          <w:rFonts w:ascii="Arial" w:hAnsi="Arial" w:cs="Arial"/>
          <w:b/>
          <w:bCs/>
          <w:sz w:val="28"/>
          <w:szCs w:val="28"/>
        </w:rPr>
        <w:tab/>
      </w:r>
      <w:r w:rsidRPr="007A02CE">
        <w:rPr>
          <w:rFonts w:ascii="Arial" w:hAnsi="Arial" w:cs="Arial"/>
          <w:b/>
          <w:bCs/>
          <w:sz w:val="28"/>
          <w:szCs w:val="28"/>
        </w:rPr>
        <w:tab/>
      </w:r>
      <w:r w:rsidRPr="007A02CE"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Pr="007A02CE">
        <w:rPr>
          <w:rFonts w:ascii="Arial" w:hAnsi="Arial" w:cs="Arial"/>
          <w:b/>
          <w:bCs/>
          <w:sz w:val="28"/>
          <w:szCs w:val="28"/>
        </w:rPr>
        <w:t>город</w:t>
      </w:r>
      <w:proofErr w:type="spellEnd"/>
      <w:r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b/>
          <w:bCs/>
          <w:sz w:val="28"/>
          <w:szCs w:val="28"/>
        </w:rPr>
        <w:t>Баку</w:t>
      </w:r>
      <w:proofErr w:type="spellEnd"/>
    </w:p>
    <w:p w14:paraId="533EE58D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</w:p>
    <w:p w14:paraId="2EF9283E" w14:textId="519F37CD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Пленум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составе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Фархада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Абдуллаева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председатель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A02CE">
        <w:rPr>
          <w:rFonts w:ascii="Arial" w:hAnsi="Arial" w:cs="Arial"/>
          <w:sz w:val="28"/>
          <w:szCs w:val="28"/>
        </w:rPr>
        <w:t>Соны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Салмановой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судья-докладчик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A02CE">
        <w:rPr>
          <w:rFonts w:ascii="Arial" w:hAnsi="Arial" w:cs="Arial"/>
          <w:sz w:val="28"/>
          <w:szCs w:val="28"/>
        </w:rPr>
        <w:t>Судабы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Гасановой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Ровшана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Исмаилова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Джейхуна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Гараджаева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Рафаэля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Гваладзе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Махира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Мурадова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Исы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Наджафова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Кямрана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Шафиева</w:t>
      </w:r>
      <w:proofErr w:type="spellEnd"/>
      <w:r w:rsidRPr="007A02CE">
        <w:rPr>
          <w:rFonts w:ascii="Arial" w:hAnsi="Arial" w:cs="Arial"/>
          <w:sz w:val="28"/>
          <w:szCs w:val="28"/>
        </w:rPr>
        <w:t>,</w:t>
      </w:r>
    </w:p>
    <w:p w14:paraId="27899A15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с </w:t>
      </w:r>
      <w:proofErr w:type="spellStart"/>
      <w:r w:rsidRPr="007A02CE">
        <w:rPr>
          <w:rFonts w:ascii="Arial" w:hAnsi="Arial" w:cs="Arial"/>
          <w:sz w:val="28"/>
          <w:szCs w:val="28"/>
        </w:rPr>
        <w:t>участием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секретаря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Вугара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Зейналова</w:t>
      </w:r>
      <w:proofErr w:type="spellEnd"/>
      <w:r w:rsidRPr="007A02CE">
        <w:rPr>
          <w:rFonts w:ascii="Arial" w:hAnsi="Arial" w:cs="Arial"/>
          <w:sz w:val="28"/>
          <w:szCs w:val="28"/>
        </w:rPr>
        <w:t>,</w:t>
      </w:r>
    </w:p>
    <w:p w14:paraId="64E8DD03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представителей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заинтересованных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субъектов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судьи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Верховного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Ильгара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Дамирова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главного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консультанта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отдела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экономического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Аппарата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Милли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Меджлиса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Фарида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Гаджиева</w:t>
      </w:r>
      <w:proofErr w:type="spellEnd"/>
      <w:r w:rsidRPr="007A02CE">
        <w:rPr>
          <w:rFonts w:ascii="Arial" w:hAnsi="Arial" w:cs="Arial"/>
          <w:sz w:val="28"/>
          <w:szCs w:val="28"/>
        </w:rPr>
        <w:t>,</w:t>
      </w:r>
    </w:p>
    <w:p w14:paraId="54739D92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эксперта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доктора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философии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доцента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Багира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Асадова</w:t>
      </w:r>
      <w:proofErr w:type="spellEnd"/>
      <w:r w:rsidRPr="007A02CE">
        <w:rPr>
          <w:rFonts w:ascii="Arial" w:hAnsi="Arial" w:cs="Arial"/>
          <w:sz w:val="28"/>
          <w:szCs w:val="28"/>
        </w:rPr>
        <w:t>,</w:t>
      </w:r>
    </w:p>
    <w:p w14:paraId="7270CFF0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специалиста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судьи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Бакинского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Икрама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Ширинова</w:t>
      </w:r>
      <w:proofErr w:type="spellEnd"/>
    </w:p>
    <w:p w14:paraId="6CE62B96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7A02CE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частью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VI 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130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обращения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коллегии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Верховного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рассмотрел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судебном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заседании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порядке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особого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производства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дело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толковании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некоторых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положений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1134, 1146 и 1252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Респуб­лики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55230E01" w14:textId="642CA271" w:rsidR="005C754C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Заслушав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доклад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С.Салмановой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делу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выступления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представителей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заинтересованных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субъектов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специалиста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мнение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эксперта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изучив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обсудив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материалы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дела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Пленум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</w:p>
    <w:p w14:paraId="1F60A344" w14:textId="77777777" w:rsidR="007A02CE" w:rsidRPr="007A02CE" w:rsidRDefault="007A02CE" w:rsidP="007A02CE">
      <w:pPr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DD2796" w14:textId="754D58B4" w:rsidR="005C754C" w:rsidRPr="007A02CE" w:rsidRDefault="005C754C" w:rsidP="007A02CE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A02CE">
        <w:rPr>
          <w:rFonts w:ascii="Arial" w:hAnsi="Arial" w:cs="Arial"/>
          <w:b/>
          <w:bCs/>
          <w:sz w:val="28"/>
          <w:szCs w:val="28"/>
        </w:rPr>
        <w:t>УСТАНОВИЛ:</w:t>
      </w:r>
    </w:p>
    <w:p w14:paraId="7472D757" w14:textId="77777777" w:rsidR="007A02CE" w:rsidRPr="007A02CE" w:rsidRDefault="007A02CE" w:rsidP="00477E79">
      <w:pPr>
        <w:ind w:firstLine="567"/>
        <w:rPr>
          <w:rFonts w:ascii="Arial" w:hAnsi="Arial" w:cs="Arial"/>
          <w:sz w:val="28"/>
          <w:szCs w:val="28"/>
        </w:rPr>
      </w:pPr>
    </w:p>
    <w:p w14:paraId="0B447C90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Гражданская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коллегия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Верховного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далее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Гражданская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коллегия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Верховного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A02CE">
        <w:rPr>
          <w:rFonts w:ascii="Arial" w:hAnsi="Arial" w:cs="Arial"/>
          <w:sz w:val="28"/>
          <w:szCs w:val="28"/>
        </w:rPr>
        <w:t>обратившись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далее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A02CE">
        <w:rPr>
          <w:rFonts w:ascii="Arial" w:hAnsi="Arial" w:cs="Arial"/>
          <w:sz w:val="28"/>
          <w:szCs w:val="28"/>
        </w:rPr>
        <w:t>просила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толкование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1134, 1146 и 1252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далее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r w:rsidRPr="007A02CE">
        <w:rPr>
          <w:rFonts w:ascii="Arial" w:hAnsi="Arial" w:cs="Arial"/>
          <w:sz w:val="28"/>
          <w:szCs w:val="28"/>
        </w:rPr>
        <w:lastRenderedPageBreak/>
        <w:t xml:space="preserve">–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Гражданский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правильного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применения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предусмотренной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статье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1252 </w:t>
      </w:r>
      <w:proofErr w:type="spellStart"/>
      <w:r w:rsidRPr="007A02CE">
        <w:rPr>
          <w:rFonts w:ascii="Arial" w:hAnsi="Arial" w:cs="Arial"/>
          <w:sz w:val="28"/>
          <w:szCs w:val="28"/>
        </w:rPr>
        <w:t>данного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правовой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нормы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связанной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трансмиссией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5D6B5656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Как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видно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из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обращения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Ю.Салахов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обратившись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Ясамальский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районный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города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исковым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заявлением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против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ответчиков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А.Акперова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Нотариальной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конторы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номер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53 </w:t>
      </w:r>
      <w:proofErr w:type="spellStart"/>
      <w:r w:rsidRPr="007A02CE">
        <w:rPr>
          <w:rFonts w:ascii="Arial" w:hAnsi="Arial" w:cs="Arial"/>
          <w:sz w:val="28"/>
          <w:szCs w:val="28"/>
        </w:rPr>
        <w:t>города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просил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решение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установлении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факта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качестве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имущества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квартир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номер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43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адресу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7A02CE">
        <w:rPr>
          <w:rFonts w:ascii="Arial" w:hAnsi="Arial" w:cs="Arial"/>
          <w:sz w:val="28"/>
          <w:szCs w:val="28"/>
        </w:rPr>
        <w:t>город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З.Халилова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35а и </w:t>
      </w:r>
      <w:proofErr w:type="spellStart"/>
      <w:r w:rsidRPr="007A02CE">
        <w:rPr>
          <w:rFonts w:ascii="Arial" w:hAnsi="Arial" w:cs="Arial"/>
          <w:sz w:val="28"/>
          <w:szCs w:val="28"/>
        </w:rPr>
        <w:t>номер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73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адресу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7A02CE">
        <w:rPr>
          <w:rFonts w:ascii="Arial" w:hAnsi="Arial" w:cs="Arial"/>
          <w:sz w:val="28"/>
          <w:szCs w:val="28"/>
        </w:rPr>
        <w:t>город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 </w:t>
      </w:r>
      <w:proofErr w:type="spellStart"/>
      <w:r w:rsidRPr="007A02CE">
        <w:rPr>
          <w:rFonts w:ascii="Arial" w:hAnsi="Arial" w:cs="Arial"/>
          <w:sz w:val="28"/>
          <w:szCs w:val="28"/>
        </w:rPr>
        <w:t>Января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40, </w:t>
      </w:r>
      <w:proofErr w:type="spellStart"/>
      <w:r w:rsidRPr="007A02CE">
        <w:rPr>
          <w:rFonts w:ascii="Arial" w:hAnsi="Arial" w:cs="Arial"/>
          <w:sz w:val="28"/>
          <w:szCs w:val="28"/>
        </w:rPr>
        <w:t>оставшихся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покойной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дочери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Л.Салаховой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установлении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размере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½ </w:t>
      </w:r>
      <w:proofErr w:type="spellStart"/>
      <w:r w:rsidRPr="007A02CE">
        <w:rPr>
          <w:rFonts w:ascii="Arial" w:hAnsi="Arial" w:cs="Arial"/>
          <w:sz w:val="28"/>
          <w:szCs w:val="28"/>
        </w:rPr>
        <w:t>части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квартир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A02CE">
        <w:rPr>
          <w:rFonts w:ascii="Arial" w:hAnsi="Arial" w:cs="Arial"/>
          <w:sz w:val="28"/>
          <w:szCs w:val="28"/>
        </w:rPr>
        <w:t>размере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½ –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Ю.Акперова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выдаче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связи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этим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свидетельства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праве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79DBF9A8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Одновременно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А.Акперов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Ю.Акперов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(в </w:t>
      </w:r>
      <w:proofErr w:type="spellStart"/>
      <w:r w:rsidRPr="007A02CE">
        <w:rPr>
          <w:rFonts w:ascii="Arial" w:hAnsi="Arial" w:cs="Arial"/>
          <w:sz w:val="28"/>
          <w:szCs w:val="28"/>
        </w:rPr>
        <w:t>качестве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представителя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А.Акперов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A02CE">
        <w:rPr>
          <w:rFonts w:ascii="Arial" w:hAnsi="Arial" w:cs="Arial"/>
          <w:sz w:val="28"/>
          <w:szCs w:val="28"/>
        </w:rPr>
        <w:t>подав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встречное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исковое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заявление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против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ответчиков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Ю.Салахова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Нотариальной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конторы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номер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53 </w:t>
      </w:r>
      <w:proofErr w:type="spellStart"/>
      <w:r w:rsidRPr="007A02CE">
        <w:rPr>
          <w:rFonts w:ascii="Arial" w:hAnsi="Arial" w:cs="Arial"/>
          <w:sz w:val="28"/>
          <w:szCs w:val="28"/>
        </w:rPr>
        <w:t>города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просили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решение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выдаче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свидетельства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праве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признанием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А.Акперова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5/12, </w:t>
      </w:r>
      <w:proofErr w:type="spellStart"/>
      <w:r w:rsidRPr="007A02CE">
        <w:rPr>
          <w:rFonts w:ascii="Arial" w:hAnsi="Arial" w:cs="Arial"/>
          <w:sz w:val="28"/>
          <w:szCs w:val="28"/>
        </w:rPr>
        <w:t>Ю.Салахова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2/12 и </w:t>
      </w:r>
      <w:proofErr w:type="spellStart"/>
      <w:r w:rsidRPr="007A02CE">
        <w:rPr>
          <w:rFonts w:ascii="Arial" w:hAnsi="Arial" w:cs="Arial"/>
          <w:sz w:val="28"/>
          <w:szCs w:val="28"/>
        </w:rPr>
        <w:t>Ю.Акперова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5/12 </w:t>
      </w:r>
      <w:proofErr w:type="spellStart"/>
      <w:r w:rsidRPr="007A02CE">
        <w:rPr>
          <w:rFonts w:ascii="Arial" w:hAnsi="Arial" w:cs="Arial"/>
          <w:sz w:val="28"/>
          <w:szCs w:val="28"/>
        </w:rPr>
        <w:t>части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квартиры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номер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43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адресу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7A02CE">
        <w:rPr>
          <w:rFonts w:ascii="Arial" w:hAnsi="Arial" w:cs="Arial"/>
          <w:sz w:val="28"/>
          <w:szCs w:val="28"/>
        </w:rPr>
        <w:t>город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З.Халилова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35а и </w:t>
      </w:r>
      <w:proofErr w:type="spellStart"/>
      <w:r w:rsidRPr="007A02CE">
        <w:rPr>
          <w:rFonts w:ascii="Arial" w:hAnsi="Arial" w:cs="Arial"/>
          <w:sz w:val="28"/>
          <w:szCs w:val="28"/>
        </w:rPr>
        <w:t>выдаче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свидетельства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праве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признанием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А.Акперова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1/6, </w:t>
      </w:r>
      <w:proofErr w:type="spellStart"/>
      <w:r w:rsidRPr="007A02CE">
        <w:rPr>
          <w:rFonts w:ascii="Arial" w:hAnsi="Arial" w:cs="Arial"/>
          <w:sz w:val="28"/>
          <w:szCs w:val="28"/>
        </w:rPr>
        <w:t>Ю.Салахова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2/6 и </w:t>
      </w:r>
      <w:proofErr w:type="spellStart"/>
      <w:r w:rsidRPr="007A02CE">
        <w:rPr>
          <w:rFonts w:ascii="Arial" w:hAnsi="Arial" w:cs="Arial"/>
          <w:sz w:val="28"/>
          <w:szCs w:val="28"/>
        </w:rPr>
        <w:t>Ю.Акперова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3/6 </w:t>
      </w:r>
      <w:proofErr w:type="spellStart"/>
      <w:r w:rsidRPr="007A02CE">
        <w:rPr>
          <w:rFonts w:ascii="Arial" w:hAnsi="Arial" w:cs="Arial"/>
          <w:sz w:val="28"/>
          <w:szCs w:val="28"/>
        </w:rPr>
        <w:t>части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квартиры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номер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73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адресу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7A02CE">
        <w:rPr>
          <w:rFonts w:ascii="Arial" w:hAnsi="Arial" w:cs="Arial"/>
          <w:sz w:val="28"/>
          <w:szCs w:val="28"/>
        </w:rPr>
        <w:t>город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 </w:t>
      </w:r>
      <w:proofErr w:type="spellStart"/>
      <w:r w:rsidRPr="007A02CE">
        <w:rPr>
          <w:rFonts w:ascii="Arial" w:hAnsi="Arial" w:cs="Arial"/>
          <w:sz w:val="28"/>
          <w:szCs w:val="28"/>
        </w:rPr>
        <w:t>Января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40.</w:t>
      </w:r>
    </w:p>
    <w:p w14:paraId="070588C3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Решением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Ясамальского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районного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города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 15 </w:t>
      </w:r>
      <w:proofErr w:type="spellStart"/>
      <w:r w:rsidRPr="007A02CE">
        <w:rPr>
          <w:rFonts w:ascii="Arial" w:hAnsi="Arial" w:cs="Arial"/>
          <w:sz w:val="28"/>
          <w:szCs w:val="28"/>
        </w:rPr>
        <w:t>февраля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2019 </w:t>
      </w:r>
      <w:proofErr w:type="spellStart"/>
      <w:r w:rsidRPr="007A02CE">
        <w:rPr>
          <w:rFonts w:ascii="Arial" w:hAnsi="Arial" w:cs="Arial"/>
          <w:sz w:val="28"/>
          <w:szCs w:val="28"/>
        </w:rPr>
        <w:t>года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первоначальный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встречный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иски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частично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удовлетворены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установлен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факт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Ю.Салаховым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имущества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оставшегося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Л.Салаховой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постановлено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установить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Ю.Акперова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размере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3/6, </w:t>
      </w:r>
      <w:proofErr w:type="spellStart"/>
      <w:r w:rsidRPr="007A02CE">
        <w:rPr>
          <w:rFonts w:ascii="Arial" w:hAnsi="Arial" w:cs="Arial"/>
          <w:sz w:val="28"/>
          <w:szCs w:val="28"/>
        </w:rPr>
        <w:t>Ю.Салахова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в </w:t>
      </w:r>
      <w:proofErr w:type="spellStart"/>
      <w:r w:rsidRPr="007A02CE">
        <w:rPr>
          <w:rFonts w:ascii="Arial" w:hAnsi="Arial" w:cs="Arial"/>
          <w:sz w:val="28"/>
          <w:szCs w:val="28"/>
        </w:rPr>
        <w:t>размере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2/6 и </w:t>
      </w:r>
      <w:proofErr w:type="spellStart"/>
      <w:r w:rsidRPr="007A02CE">
        <w:rPr>
          <w:rFonts w:ascii="Arial" w:hAnsi="Arial" w:cs="Arial"/>
          <w:sz w:val="28"/>
          <w:szCs w:val="28"/>
        </w:rPr>
        <w:t>А.Акперова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в </w:t>
      </w:r>
      <w:proofErr w:type="spellStart"/>
      <w:r w:rsidRPr="007A02CE">
        <w:rPr>
          <w:rFonts w:ascii="Arial" w:hAnsi="Arial" w:cs="Arial"/>
          <w:sz w:val="28"/>
          <w:szCs w:val="28"/>
        </w:rPr>
        <w:t>размере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1/6 </w:t>
      </w:r>
      <w:proofErr w:type="spellStart"/>
      <w:r w:rsidRPr="007A02CE">
        <w:rPr>
          <w:rFonts w:ascii="Arial" w:hAnsi="Arial" w:cs="Arial"/>
          <w:sz w:val="28"/>
          <w:szCs w:val="28"/>
        </w:rPr>
        <w:t>части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каждой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из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квартир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номер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43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адресу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7A02CE">
        <w:rPr>
          <w:rFonts w:ascii="Arial" w:hAnsi="Arial" w:cs="Arial"/>
          <w:sz w:val="28"/>
          <w:szCs w:val="28"/>
        </w:rPr>
        <w:t>город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З.Халилова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35а и </w:t>
      </w:r>
      <w:proofErr w:type="spellStart"/>
      <w:r w:rsidRPr="007A02CE">
        <w:rPr>
          <w:rFonts w:ascii="Arial" w:hAnsi="Arial" w:cs="Arial"/>
          <w:sz w:val="28"/>
          <w:szCs w:val="28"/>
        </w:rPr>
        <w:t>номер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73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адресу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7A02CE">
        <w:rPr>
          <w:rFonts w:ascii="Arial" w:hAnsi="Arial" w:cs="Arial"/>
          <w:sz w:val="28"/>
          <w:szCs w:val="28"/>
        </w:rPr>
        <w:t>город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 </w:t>
      </w:r>
      <w:proofErr w:type="spellStart"/>
      <w:r w:rsidRPr="007A02CE">
        <w:rPr>
          <w:rFonts w:ascii="Arial" w:hAnsi="Arial" w:cs="Arial"/>
          <w:sz w:val="28"/>
          <w:szCs w:val="28"/>
        </w:rPr>
        <w:t>Января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40 и </w:t>
      </w:r>
      <w:proofErr w:type="spellStart"/>
      <w:r w:rsidRPr="007A02CE">
        <w:rPr>
          <w:rFonts w:ascii="Arial" w:hAnsi="Arial" w:cs="Arial"/>
          <w:sz w:val="28"/>
          <w:szCs w:val="28"/>
        </w:rPr>
        <w:t>возложить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Нотариальную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контору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номер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53 </w:t>
      </w:r>
      <w:proofErr w:type="spellStart"/>
      <w:r w:rsidRPr="007A02CE">
        <w:rPr>
          <w:rFonts w:ascii="Arial" w:hAnsi="Arial" w:cs="Arial"/>
          <w:sz w:val="28"/>
          <w:szCs w:val="28"/>
        </w:rPr>
        <w:t>города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обязанность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выдаче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свидетельства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праве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их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долями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7A5C5583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Решением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коллегии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Бакинского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 </w:t>
      </w:r>
      <w:proofErr w:type="spellStart"/>
      <w:r w:rsidRPr="007A02CE">
        <w:rPr>
          <w:rFonts w:ascii="Arial" w:hAnsi="Arial" w:cs="Arial"/>
          <w:sz w:val="28"/>
          <w:szCs w:val="28"/>
        </w:rPr>
        <w:t>июня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2019 </w:t>
      </w:r>
      <w:proofErr w:type="spellStart"/>
      <w:r w:rsidRPr="007A02CE">
        <w:rPr>
          <w:rFonts w:ascii="Arial" w:hAnsi="Arial" w:cs="Arial"/>
          <w:sz w:val="28"/>
          <w:szCs w:val="28"/>
        </w:rPr>
        <w:t>года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решение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первой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инстанции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было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оставлено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без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изменения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43497707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Недовольный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данным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решением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Ю.Салахов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подал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кассационную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жалобу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Гражданскую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коллегию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Верховного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74682BDE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Гражданская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коллегия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Верховного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придя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выводу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необходимости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толкования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1134, 1146 и 1252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правильного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разрешения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дела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приняла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определение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обращении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24 </w:t>
      </w:r>
      <w:proofErr w:type="spellStart"/>
      <w:r w:rsidRPr="007A02CE">
        <w:rPr>
          <w:rFonts w:ascii="Arial" w:hAnsi="Arial" w:cs="Arial"/>
          <w:sz w:val="28"/>
          <w:szCs w:val="28"/>
        </w:rPr>
        <w:t>декабря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2019 </w:t>
      </w:r>
      <w:proofErr w:type="spellStart"/>
      <w:r w:rsidRPr="007A02CE">
        <w:rPr>
          <w:rFonts w:ascii="Arial" w:hAnsi="Arial" w:cs="Arial"/>
          <w:sz w:val="28"/>
          <w:szCs w:val="28"/>
        </w:rPr>
        <w:t>года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5B67EC2B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Из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находящихся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материалах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дела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свидетельств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9 </w:t>
      </w:r>
      <w:proofErr w:type="spellStart"/>
      <w:r w:rsidRPr="007A02CE">
        <w:rPr>
          <w:rFonts w:ascii="Arial" w:hAnsi="Arial" w:cs="Arial"/>
          <w:sz w:val="28"/>
          <w:szCs w:val="28"/>
        </w:rPr>
        <w:t>августа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2016 </w:t>
      </w:r>
      <w:proofErr w:type="spellStart"/>
      <w:r w:rsidRPr="007A02CE">
        <w:rPr>
          <w:rFonts w:ascii="Arial" w:hAnsi="Arial" w:cs="Arial"/>
          <w:sz w:val="28"/>
          <w:szCs w:val="28"/>
        </w:rPr>
        <w:t>года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10 </w:t>
      </w:r>
      <w:proofErr w:type="spellStart"/>
      <w:r w:rsidRPr="007A02CE">
        <w:rPr>
          <w:rFonts w:ascii="Arial" w:hAnsi="Arial" w:cs="Arial"/>
          <w:sz w:val="28"/>
          <w:szCs w:val="28"/>
        </w:rPr>
        <w:t>августа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2016 </w:t>
      </w:r>
      <w:proofErr w:type="spellStart"/>
      <w:r w:rsidRPr="007A02CE">
        <w:rPr>
          <w:rFonts w:ascii="Arial" w:hAnsi="Arial" w:cs="Arial"/>
          <w:sz w:val="28"/>
          <w:szCs w:val="28"/>
        </w:rPr>
        <w:t>года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видно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что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Л.Салахова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lastRenderedPageBreak/>
        <w:t>А.Акперов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скончались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5 </w:t>
      </w:r>
      <w:proofErr w:type="spellStart"/>
      <w:r w:rsidRPr="007A02CE">
        <w:rPr>
          <w:rFonts w:ascii="Arial" w:hAnsi="Arial" w:cs="Arial"/>
          <w:sz w:val="28"/>
          <w:szCs w:val="28"/>
        </w:rPr>
        <w:t>августа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2016 </w:t>
      </w:r>
      <w:proofErr w:type="spellStart"/>
      <w:r w:rsidRPr="007A02CE">
        <w:rPr>
          <w:rFonts w:ascii="Arial" w:hAnsi="Arial" w:cs="Arial"/>
          <w:sz w:val="28"/>
          <w:szCs w:val="28"/>
        </w:rPr>
        <w:t>года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являясь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супругами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скончались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один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разное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время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3CDC05AA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Так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видно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из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экспертного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заключения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Научно-практического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учебного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объединения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A02CE">
        <w:rPr>
          <w:rFonts w:ascii="Arial" w:hAnsi="Arial" w:cs="Arial"/>
          <w:sz w:val="28"/>
          <w:szCs w:val="28"/>
        </w:rPr>
        <w:t>Судебно-медицинская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экспертиза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патологическая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анатомия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7A02CE">
        <w:rPr>
          <w:rFonts w:ascii="Arial" w:hAnsi="Arial" w:cs="Arial"/>
          <w:sz w:val="28"/>
          <w:szCs w:val="28"/>
        </w:rPr>
        <w:t>Министерства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здравоохранения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23 </w:t>
      </w:r>
      <w:proofErr w:type="spellStart"/>
      <w:r w:rsidRPr="007A02CE">
        <w:rPr>
          <w:rFonts w:ascii="Arial" w:hAnsi="Arial" w:cs="Arial"/>
          <w:sz w:val="28"/>
          <w:szCs w:val="28"/>
        </w:rPr>
        <w:t>августа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2016 </w:t>
      </w:r>
      <w:proofErr w:type="spellStart"/>
      <w:r w:rsidRPr="007A02CE">
        <w:rPr>
          <w:rFonts w:ascii="Arial" w:hAnsi="Arial" w:cs="Arial"/>
          <w:sz w:val="28"/>
          <w:szCs w:val="28"/>
        </w:rPr>
        <w:t>года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Л.Салахова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5 </w:t>
      </w:r>
      <w:proofErr w:type="spellStart"/>
      <w:r w:rsidRPr="007A02CE">
        <w:rPr>
          <w:rFonts w:ascii="Arial" w:hAnsi="Arial" w:cs="Arial"/>
          <w:sz w:val="28"/>
          <w:szCs w:val="28"/>
        </w:rPr>
        <w:t>августа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2016 </w:t>
      </w:r>
      <w:proofErr w:type="spellStart"/>
      <w:r w:rsidRPr="007A02CE">
        <w:rPr>
          <w:rFonts w:ascii="Arial" w:hAnsi="Arial" w:cs="Arial"/>
          <w:sz w:val="28"/>
          <w:szCs w:val="28"/>
        </w:rPr>
        <w:t>года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скончалась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машине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скорой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медицинской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помощи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дороге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Центральную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больницу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Кюрдамирского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района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A02CE">
        <w:rPr>
          <w:rFonts w:ascii="Arial" w:hAnsi="Arial" w:cs="Arial"/>
          <w:sz w:val="28"/>
          <w:szCs w:val="28"/>
        </w:rPr>
        <w:t>ее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муж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02CE">
        <w:rPr>
          <w:rFonts w:ascii="Arial" w:hAnsi="Arial" w:cs="Arial"/>
          <w:sz w:val="28"/>
          <w:szCs w:val="28"/>
        </w:rPr>
        <w:t>А.Акперов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был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доставлен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Центральную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больницу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Кюрдамирского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района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около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12:20 и </w:t>
      </w:r>
      <w:proofErr w:type="spellStart"/>
      <w:r w:rsidRPr="007A02CE">
        <w:rPr>
          <w:rFonts w:ascii="Arial" w:hAnsi="Arial" w:cs="Arial"/>
          <w:sz w:val="28"/>
          <w:szCs w:val="28"/>
        </w:rPr>
        <w:t>скончался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тот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же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14:30.</w:t>
      </w:r>
    </w:p>
    <w:p w14:paraId="5FD20EA4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7A02CE">
        <w:rPr>
          <w:rFonts w:ascii="Arial" w:hAnsi="Arial" w:cs="Arial"/>
          <w:sz w:val="28"/>
          <w:szCs w:val="28"/>
        </w:rPr>
        <w:t>обращении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указано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что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согласно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1134.1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закону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находящиеся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живых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моменту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A02CE">
        <w:rPr>
          <w:rFonts w:ascii="Arial" w:hAnsi="Arial" w:cs="Arial"/>
          <w:sz w:val="28"/>
          <w:szCs w:val="28"/>
        </w:rPr>
        <w:t>также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родившиеся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1252 </w:t>
      </w:r>
      <w:proofErr w:type="spellStart"/>
      <w:r w:rsidRPr="007A02CE">
        <w:rPr>
          <w:rFonts w:ascii="Arial" w:hAnsi="Arial" w:cs="Arial"/>
          <w:sz w:val="28"/>
          <w:szCs w:val="28"/>
        </w:rPr>
        <w:t>данного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A02CE">
        <w:rPr>
          <w:rFonts w:ascii="Arial" w:hAnsi="Arial" w:cs="Arial"/>
          <w:sz w:val="28"/>
          <w:szCs w:val="28"/>
        </w:rPr>
        <w:t>случае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получение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переходит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наследственная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трансмиссия</w:t>
      </w:r>
      <w:proofErr w:type="spellEnd"/>
      <w:r w:rsidRPr="007A02CE">
        <w:rPr>
          <w:rFonts w:ascii="Arial" w:hAnsi="Arial" w:cs="Arial"/>
          <w:sz w:val="28"/>
          <w:szCs w:val="28"/>
        </w:rPr>
        <w:t>).</w:t>
      </w:r>
    </w:p>
    <w:p w14:paraId="18889926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Согласно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выводу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коллегии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Верховного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вопрос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вызывающий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неопределенность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регулировании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отношений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связанных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заключается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том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что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тогда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статье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1146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признается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статьей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1134.1 </w:t>
      </w:r>
      <w:proofErr w:type="spellStart"/>
      <w:r w:rsidRPr="007A02CE">
        <w:rPr>
          <w:rFonts w:ascii="Arial" w:hAnsi="Arial" w:cs="Arial"/>
          <w:sz w:val="28"/>
          <w:szCs w:val="28"/>
        </w:rPr>
        <w:t>данного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закреплено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что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находящиеся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живых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моменту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Обратившийся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отмечает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что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фактор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представляющий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важное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значение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разрешении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вопросов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связанных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установлен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статье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1146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”, а в </w:t>
      </w:r>
      <w:proofErr w:type="spellStart"/>
      <w:r w:rsidRPr="007A02CE">
        <w:rPr>
          <w:rFonts w:ascii="Arial" w:hAnsi="Arial" w:cs="Arial"/>
          <w:sz w:val="28"/>
          <w:szCs w:val="28"/>
        </w:rPr>
        <w:t>статье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 </w:t>
      </w:r>
      <w:proofErr w:type="spellStart"/>
      <w:r w:rsidRPr="007A02CE">
        <w:rPr>
          <w:rFonts w:ascii="Arial" w:hAnsi="Arial" w:cs="Arial"/>
          <w:sz w:val="28"/>
          <w:szCs w:val="28"/>
        </w:rPr>
        <w:t>как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”. </w:t>
      </w:r>
      <w:proofErr w:type="spellStart"/>
      <w:r w:rsidRPr="007A02CE">
        <w:rPr>
          <w:rFonts w:ascii="Arial" w:hAnsi="Arial" w:cs="Arial"/>
          <w:sz w:val="28"/>
          <w:szCs w:val="28"/>
        </w:rPr>
        <w:t>Это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приводит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возникновению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неопределенности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применении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предусмотренной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статье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1252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4B680C0A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Пленум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считает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необходимым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отметить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связи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обращением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следующее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71A2AF2D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части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VII 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29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государство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гарантирует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наследования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09273F7F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Гарантия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предусматривает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оставление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есть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с </w:t>
      </w:r>
      <w:proofErr w:type="spellStart"/>
      <w:r w:rsidRPr="007A02CE">
        <w:rPr>
          <w:rFonts w:ascii="Arial" w:hAnsi="Arial" w:cs="Arial"/>
          <w:sz w:val="28"/>
          <w:szCs w:val="28"/>
        </w:rPr>
        <w:t>одной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стороны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возможность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составить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завещание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а с </w:t>
      </w:r>
      <w:proofErr w:type="spellStart"/>
      <w:r w:rsidRPr="007A02CE">
        <w:rPr>
          <w:rFonts w:ascii="Arial" w:hAnsi="Arial" w:cs="Arial"/>
          <w:sz w:val="28"/>
          <w:szCs w:val="28"/>
        </w:rPr>
        <w:t>другой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– </w:t>
      </w:r>
      <w:proofErr w:type="spellStart"/>
      <w:r w:rsidRPr="007A02CE">
        <w:rPr>
          <w:rFonts w:ascii="Arial" w:hAnsi="Arial" w:cs="Arial"/>
          <w:sz w:val="28"/>
          <w:szCs w:val="28"/>
        </w:rPr>
        <w:t>принять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качестве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владеть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Наследственные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отношения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возникают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между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основаниях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законом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же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завещанию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основанному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41BB9F36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Под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подразумевается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возможность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передачи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имущественных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актив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 и </w:t>
      </w:r>
      <w:proofErr w:type="spellStart"/>
      <w:r w:rsidRPr="007A02CE">
        <w:rPr>
          <w:rFonts w:ascii="Arial" w:hAnsi="Arial" w:cs="Arial"/>
          <w:sz w:val="28"/>
          <w:szCs w:val="28"/>
        </w:rPr>
        <w:t>обязанностей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пассив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A02CE">
        <w:rPr>
          <w:rFonts w:ascii="Arial" w:hAnsi="Arial" w:cs="Arial"/>
          <w:sz w:val="28"/>
          <w:szCs w:val="28"/>
        </w:rPr>
        <w:t>физического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которые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переданы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данным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Смерть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является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причиной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прекращения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имущественных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некоторых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личных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lastRenderedPageBreak/>
        <w:t>неимущественных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обязанностей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напротив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переходят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другим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порядке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указанном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правовых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нормах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регулирующих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наследственные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отношения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55D7BDAC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1133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имущество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A02CE">
        <w:rPr>
          <w:rFonts w:ascii="Arial" w:hAnsi="Arial" w:cs="Arial"/>
          <w:sz w:val="28"/>
          <w:szCs w:val="28"/>
        </w:rPr>
        <w:t>переходит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другим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 в </w:t>
      </w:r>
      <w:proofErr w:type="spellStart"/>
      <w:r w:rsidRPr="007A02CE">
        <w:rPr>
          <w:rFonts w:ascii="Arial" w:hAnsi="Arial" w:cs="Arial"/>
          <w:sz w:val="28"/>
          <w:szCs w:val="28"/>
        </w:rPr>
        <w:t>силу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закона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либо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завещания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либо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обоим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основаниям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закону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переход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имущества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лицам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указанным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законе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A02CE">
        <w:rPr>
          <w:rFonts w:ascii="Arial" w:hAnsi="Arial" w:cs="Arial"/>
          <w:sz w:val="28"/>
          <w:szCs w:val="28"/>
        </w:rPr>
        <w:t>наступает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том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случае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если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оставит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завещания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либо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завещание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полностью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частично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признано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недействительным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50944E45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возникновения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отношений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первую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очередь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должен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иметь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место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факт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7A02CE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1145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смертью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физического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либо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объявлением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648B7E49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Согласно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25.2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правоспособность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физического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возникает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рождения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прекращается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смертью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Моментом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признается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прекращение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мозга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5678B2D3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человека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удостоверяет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медицинский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работник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врач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фельдшер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A02CE">
        <w:rPr>
          <w:rFonts w:ascii="Arial" w:hAnsi="Arial" w:cs="Arial"/>
          <w:sz w:val="28"/>
          <w:szCs w:val="28"/>
        </w:rPr>
        <w:t>который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выдает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медицинское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свидетельство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целью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представления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органы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регистрации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пункты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1-2 </w:t>
      </w:r>
      <w:proofErr w:type="spellStart"/>
      <w:r w:rsidRPr="007A02CE">
        <w:rPr>
          <w:rFonts w:ascii="Arial" w:hAnsi="Arial" w:cs="Arial"/>
          <w:sz w:val="28"/>
          <w:szCs w:val="28"/>
        </w:rPr>
        <w:t>Инструкции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порядке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выдачи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A02CE">
        <w:rPr>
          <w:rFonts w:ascii="Arial" w:hAnsi="Arial" w:cs="Arial"/>
          <w:sz w:val="28"/>
          <w:szCs w:val="28"/>
        </w:rPr>
        <w:t>Медицинского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свидетельства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7A02CE">
        <w:rPr>
          <w:rFonts w:ascii="Arial" w:hAnsi="Arial" w:cs="Arial"/>
          <w:sz w:val="28"/>
          <w:szCs w:val="28"/>
        </w:rPr>
        <w:t>утвержденной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приказом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министра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здравоохранения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7A02CE">
        <w:rPr>
          <w:rFonts w:ascii="Arial" w:hAnsi="Arial" w:cs="Arial"/>
          <w:sz w:val="28"/>
          <w:szCs w:val="28"/>
        </w:rPr>
        <w:t>июля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2015 </w:t>
      </w:r>
      <w:proofErr w:type="spellStart"/>
      <w:r w:rsidRPr="007A02CE">
        <w:rPr>
          <w:rFonts w:ascii="Arial" w:hAnsi="Arial" w:cs="Arial"/>
          <w:sz w:val="28"/>
          <w:szCs w:val="28"/>
        </w:rPr>
        <w:t>года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номер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52, </w:t>
      </w:r>
      <w:proofErr w:type="spellStart"/>
      <w:r w:rsidRPr="007A02CE">
        <w:rPr>
          <w:rFonts w:ascii="Arial" w:hAnsi="Arial" w:cs="Arial"/>
          <w:sz w:val="28"/>
          <w:szCs w:val="28"/>
        </w:rPr>
        <w:t>статья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39 </w:t>
      </w:r>
      <w:proofErr w:type="spellStart"/>
      <w:r w:rsidRPr="007A02CE">
        <w:rPr>
          <w:rFonts w:ascii="Arial" w:hAnsi="Arial" w:cs="Arial"/>
          <w:sz w:val="28"/>
          <w:szCs w:val="28"/>
        </w:rPr>
        <w:t>Закона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A02CE">
        <w:rPr>
          <w:rFonts w:ascii="Arial" w:hAnsi="Arial" w:cs="Arial"/>
          <w:sz w:val="28"/>
          <w:szCs w:val="28"/>
        </w:rPr>
        <w:t>Об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охране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здоровья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населения</w:t>
      </w:r>
      <w:proofErr w:type="spellEnd"/>
      <w:r w:rsidRPr="007A02CE">
        <w:rPr>
          <w:rFonts w:ascii="Arial" w:hAnsi="Arial" w:cs="Arial"/>
          <w:sz w:val="28"/>
          <w:szCs w:val="28"/>
        </w:rPr>
        <w:t>”).</w:t>
      </w:r>
    </w:p>
    <w:p w14:paraId="6F712F9A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Факт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дата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физического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подтверждается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свидетельством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(о </w:t>
      </w:r>
      <w:proofErr w:type="spellStart"/>
      <w:r w:rsidRPr="007A02CE">
        <w:rPr>
          <w:rFonts w:ascii="Arial" w:hAnsi="Arial" w:cs="Arial"/>
          <w:sz w:val="28"/>
          <w:szCs w:val="28"/>
        </w:rPr>
        <w:t>биологической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A02CE">
        <w:rPr>
          <w:rFonts w:ascii="Arial" w:hAnsi="Arial" w:cs="Arial"/>
          <w:sz w:val="28"/>
          <w:szCs w:val="28"/>
        </w:rPr>
        <w:t>выданным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органами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государственной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регистрации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актов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состояния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643C16D0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Объявление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судебном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порядке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правовым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последствиям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приравнивается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факту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днем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считается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вступления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законную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силу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решения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статья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41.3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>).</w:t>
      </w:r>
    </w:p>
    <w:p w14:paraId="70440ABE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Следует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учесть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что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может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признать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днем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предполагаемой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гибели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статья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41.4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). В </w:t>
      </w:r>
      <w:proofErr w:type="spellStart"/>
      <w:r w:rsidRPr="007A02CE">
        <w:rPr>
          <w:rFonts w:ascii="Arial" w:hAnsi="Arial" w:cs="Arial"/>
          <w:sz w:val="28"/>
          <w:szCs w:val="28"/>
        </w:rPr>
        <w:t>этом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случае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актовой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записи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является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датой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записанной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решении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7D5D0B6A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Таким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образом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смерть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объявление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судебном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прядке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будучи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правового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акта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является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возникновения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правоотношений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758BCD07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Круг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которые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определен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При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закону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находящиеся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живых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моменту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A02CE">
        <w:rPr>
          <w:rFonts w:ascii="Arial" w:hAnsi="Arial" w:cs="Arial"/>
          <w:sz w:val="28"/>
          <w:szCs w:val="28"/>
        </w:rPr>
        <w:t>также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родившиеся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lastRenderedPageBreak/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При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завещанию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находящиеся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живых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моменту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A02CE">
        <w:rPr>
          <w:rFonts w:ascii="Arial" w:hAnsi="Arial" w:cs="Arial"/>
          <w:sz w:val="28"/>
          <w:szCs w:val="28"/>
        </w:rPr>
        <w:t>также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зачатые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жизни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родившиеся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независимо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являются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детьми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являются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юридическими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лицами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0F457890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Определение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круга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представляет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важное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значение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разрешении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вопроса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связанного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1252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A02CE">
        <w:rPr>
          <w:rFonts w:ascii="Arial" w:hAnsi="Arial" w:cs="Arial"/>
          <w:sz w:val="28"/>
          <w:szCs w:val="28"/>
        </w:rPr>
        <w:t>случае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получение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переходит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наследственная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).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должны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течение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оставшегося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окончания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срока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Если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этот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срок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составляет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менее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трех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месяцев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должен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продлен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трех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месяцев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772ED8E4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подразумевается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переход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трансмиттента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успевшего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причине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трансмиссарам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). </w:t>
      </w:r>
      <w:proofErr w:type="spellStart"/>
      <w:r w:rsidRPr="007A02CE">
        <w:rPr>
          <w:rFonts w:ascii="Arial" w:hAnsi="Arial" w:cs="Arial"/>
          <w:sz w:val="28"/>
          <w:szCs w:val="28"/>
        </w:rPr>
        <w:t>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есть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если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завещанию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закону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успев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срок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установленный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законодательством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аннулируется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A02CE">
        <w:rPr>
          <w:rFonts w:ascii="Arial" w:hAnsi="Arial" w:cs="Arial"/>
          <w:sz w:val="28"/>
          <w:szCs w:val="28"/>
        </w:rPr>
        <w:t>переходит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При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этом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применяется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презумпция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существования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намерения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имущество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пока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доказано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иное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5B43A5F4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Следует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отметить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что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согласно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правовой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позиции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сформированной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Пленумом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согласно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логике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принципа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семейного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благополучия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право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распоряжения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имуществом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определенной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частью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имущества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A02CE">
        <w:rPr>
          <w:rFonts w:ascii="Arial" w:hAnsi="Arial" w:cs="Arial"/>
          <w:sz w:val="28"/>
          <w:szCs w:val="28"/>
        </w:rPr>
        <w:t>принадлежащим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собственнику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жизни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должно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принадлежать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близким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членам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семьи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При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закону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этот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принцип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проявляет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себя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правилах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очередности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служит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получению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кругом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наиболее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близких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7A02CE">
        <w:rPr>
          <w:rFonts w:ascii="Arial" w:hAnsi="Arial" w:cs="Arial"/>
          <w:sz w:val="28"/>
          <w:szCs w:val="28"/>
        </w:rPr>
        <w:t>проверке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соответствия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1193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частям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I и II 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13, </w:t>
      </w:r>
      <w:proofErr w:type="spellStart"/>
      <w:r w:rsidRPr="007A02CE">
        <w:rPr>
          <w:rFonts w:ascii="Arial" w:hAnsi="Arial" w:cs="Arial"/>
          <w:sz w:val="28"/>
          <w:szCs w:val="28"/>
        </w:rPr>
        <w:t>частям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I, II и III 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29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7A02CE">
        <w:rPr>
          <w:rFonts w:ascii="Arial" w:hAnsi="Arial" w:cs="Arial"/>
          <w:sz w:val="28"/>
          <w:szCs w:val="28"/>
        </w:rPr>
        <w:t>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 </w:t>
      </w:r>
      <w:proofErr w:type="spellStart"/>
      <w:r w:rsidRPr="007A02CE">
        <w:rPr>
          <w:rFonts w:ascii="Arial" w:hAnsi="Arial" w:cs="Arial"/>
          <w:sz w:val="28"/>
          <w:szCs w:val="28"/>
        </w:rPr>
        <w:t>октября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2011 </w:t>
      </w:r>
      <w:proofErr w:type="spellStart"/>
      <w:r w:rsidRPr="007A02CE">
        <w:rPr>
          <w:rFonts w:ascii="Arial" w:hAnsi="Arial" w:cs="Arial"/>
          <w:sz w:val="28"/>
          <w:szCs w:val="28"/>
        </w:rPr>
        <w:t>года</w:t>
      </w:r>
      <w:proofErr w:type="spellEnd"/>
      <w:r w:rsidRPr="007A02CE">
        <w:rPr>
          <w:rFonts w:ascii="Arial" w:hAnsi="Arial" w:cs="Arial"/>
          <w:sz w:val="28"/>
          <w:szCs w:val="28"/>
        </w:rPr>
        <w:t>).</w:t>
      </w:r>
    </w:p>
    <w:p w14:paraId="4D4256AF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изучения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поставленного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обращении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вопроса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Пленум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считает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необходимым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внести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ясность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положение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7A02CE">
        <w:rPr>
          <w:rFonts w:ascii="Arial" w:hAnsi="Arial" w:cs="Arial"/>
          <w:sz w:val="28"/>
          <w:szCs w:val="28"/>
        </w:rPr>
        <w:t>предусмотренное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статье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050457A3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Слово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7A02CE">
        <w:rPr>
          <w:rFonts w:ascii="Arial" w:hAnsi="Arial" w:cs="Arial"/>
          <w:sz w:val="28"/>
          <w:szCs w:val="28"/>
        </w:rPr>
        <w:t>употребляется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различных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значениях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:  1) </w:t>
      </w:r>
      <w:proofErr w:type="spellStart"/>
      <w:r w:rsidRPr="007A02CE">
        <w:rPr>
          <w:rFonts w:ascii="Arial" w:hAnsi="Arial" w:cs="Arial"/>
          <w:sz w:val="28"/>
          <w:szCs w:val="28"/>
        </w:rPr>
        <w:t>место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пространство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; 2) </w:t>
      </w:r>
      <w:proofErr w:type="spellStart"/>
      <w:r w:rsidRPr="007A02CE">
        <w:rPr>
          <w:rFonts w:ascii="Arial" w:hAnsi="Arial" w:cs="Arial"/>
          <w:sz w:val="28"/>
          <w:szCs w:val="28"/>
        </w:rPr>
        <w:t>время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промежуток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срок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; 3) </w:t>
      </w:r>
      <w:proofErr w:type="spellStart"/>
      <w:r w:rsidRPr="007A02CE">
        <w:rPr>
          <w:rFonts w:ascii="Arial" w:hAnsi="Arial" w:cs="Arial"/>
          <w:sz w:val="28"/>
          <w:szCs w:val="28"/>
        </w:rPr>
        <w:t>должность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звание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положение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; 4) </w:t>
      </w:r>
      <w:proofErr w:type="spellStart"/>
      <w:r w:rsidRPr="007A02CE">
        <w:rPr>
          <w:rFonts w:ascii="Arial" w:hAnsi="Arial" w:cs="Arial"/>
          <w:sz w:val="28"/>
          <w:szCs w:val="28"/>
        </w:rPr>
        <w:t>состояние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ситуация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7A02CE">
        <w:rPr>
          <w:rFonts w:ascii="Arial" w:hAnsi="Arial" w:cs="Arial"/>
          <w:sz w:val="28"/>
          <w:szCs w:val="28"/>
        </w:rPr>
        <w:t>этом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контексте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предусмотренное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статье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1134.1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положение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r w:rsidRPr="007A02CE">
        <w:rPr>
          <w:rFonts w:ascii="Arial" w:hAnsi="Arial" w:cs="Arial"/>
          <w:sz w:val="28"/>
          <w:szCs w:val="28"/>
        </w:rPr>
        <w:lastRenderedPageBreak/>
        <w:t>“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находящиеся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живых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моменту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7A02CE">
        <w:rPr>
          <w:rFonts w:ascii="Arial" w:hAnsi="Arial" w:cs="Arial"/>
          <w:sz w:val="28"/>
          <w:szCs w:val="28"/>
        </w:rPr>
        <w:t>устанавливающее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круг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которые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следует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понимать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значении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находящихся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живых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моменту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Точный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должен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установлен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определения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Данный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представляет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важное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значение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разрешении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вопроса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связанного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Так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если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находившийся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живых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моменту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воспользовавшись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последнего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получение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из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переходит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7A02CE">
        <w:rPr>
          <w:rFonts w:ascii="Arial" w:hAnsi="Arial" w:cs="Arial"/>
          <w:sz w:val="28"/>
          <w:szCs w:val="28"/>
        </w:rPr>
        <w:t>случае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если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установить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представляется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возможным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один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обладающие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один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должны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считаться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одновременно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являться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невозможно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также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применение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содержанием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1134.1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каждого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из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признанных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одновременно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открывается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отдельное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7A02CE">
        <w:rPr>
          <w:rFonts w:ascii="Arial" w:hAnsi="Arial" w:cs="Arial"/>
          <w:sz w:val="28"/>
          <w:szCs w:val="28"/>
        </w:rPr>
        <w:t>их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призываются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соответствующем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порядке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12A2B673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Следует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отметить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что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если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ссылаться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римское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одновременно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именуются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коморриентами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являться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Коморриентами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признаются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один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вне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зависимости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наступила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результате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одного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того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же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происшествия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землетрясение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наводнение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пр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.)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разным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причинам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которых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установить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невозможно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выступать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качестве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друга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073E1007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Таким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образом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точки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зрения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содержания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норм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слово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 в </w:t>
      </w:r>
      <w:proofErr w:type="spellStart"/>
      <w:r w:rsidRPr="007A02CE">
        <w:rPr>
          <w:rFonts w:ascii="Arial" w:hAnsi="Arial" w:cs="Arial"/>
          <w:sz w:val="28"/>
          <w:szCs w:val="28"/>
        </w:rPr>
        <w:t>статье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1134.1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выражает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конкретный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показатель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72F9A37F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Время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установлено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1146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признается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либо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вступления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силу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решения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объявлении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физического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6E023FDC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Следует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отметить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что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осуществление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защита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гражданских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тесно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связаны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категорией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промежутка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). </w:t>
      </w:r>
      <w:proofErr w:type="spellStart"/>
      <w:r w:rsidRPr="007A02CE">
        <w:rPr>
          <w:rFonts w:ascii="Arial" w:hAnsi="Arial" w:cs="Arial"/>
          <w:sz w:val="28"/>
          <w:szCs w:val="28"/>
        </w:rPr>
        <w:t>Наличие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гражданских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защита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нарушенных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гражданско-правовые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последствия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ограничиваются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именно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категорией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промежутка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). </w:t>
      </w:r>
      <w:proofErr w:type="spellStart"/>
      <w:r w:rsidRPr="007A02CE">
        <w:rPr>
          <w:rFonts w:ascii="Arial" w:hAnsi="Arial" w:cs="Arial"/>
          <w:sz w:val="28"/>
          <w:szCs w:val="28"/>
        </w:rPr>
        <w:t>Сроки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играют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важную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роль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правовом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регулировании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имущественных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неимущественных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отношений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6758DD85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под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сроком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подразумевается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промежуток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отрезок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с </w:t>
      </w:r>
      <w:proofErr w:type="spellStart"/>
      <w:r w:rsidRPr="007A02CE">
        <w:rPr>
          <w:rFonts w:ascii="Arial" w:hAnsi="Arial" w:cs="Arial"/>
          <w:sz w:val="28"/>
          <w:szCs w:val="28"/>
        </w:rPr>
        <w:t>которым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связаны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возникновение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изменение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прекращение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гражданских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правоотношений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гражданских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обязанностей</w:t>
      </w:r>
      <w:proofErr w:type="spellEnd"/>
      <w:r w:rsidRPr="007A02CE">
        <w:rPr>
          <w:rFonts w:ascii="Arial" w:hAnsi="Arial" w:cs="Arial"/>
          <w:sz w:val="28"/>
          <w:szCs w:val="28"/>
        </w:rPr>
        <w:t>).</w:t>
      </w:r>
    </w:p>
    <w:p w14:paraId="5737283B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lastRenderedPageBreak/>
        <w:t xml:space="preserve">В </w:t>
      </w:r>
      <w:proofErr w:type="spellStart"/>
      <w:r w:rsidRPr="007A02CE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367 </w:t>
      </w:r>
      <w:proofErr w:type="spellStart"/>
      <w:r w:rsidRPr="007A02CE">
        <w:rPr>
          <w:rFonts w:ascii="Arial" w:hAnsi="Arial" w:cs="Arial"/>
          <w:sz w:val="28"/>
          <w:szCs w:val="28"/>
        </w:rPr>
        <w:t>главы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XVII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именуемой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A02CE">
        <w:rPr>
          <w:rFonts w:ascii="Arial" w:hAnsi="Arial" w:cs="Arial"/>
          <w:sz w:val="28"/>
          <w:szCs w:val="28"/>
        </w:rPr>
        <w:t>Исчисление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сроков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7A02CE">
        <w:rPr>
          <w:rFonts w:ascii="Arial" w:hAnsi="Arial" w:cs="Arial"/>
          <w:sz w:val="28"/>
          <w:szCs w:val="28"/>
        </w:rPr>
        <w:t>сроком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является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с </w:t>
      </w:r>
      <w:proofErr w:type="spellStart"/>
      <w:r w:rsidRPr="007A02CE">
        <w:rPr>
          <w:rFonts w:ascii="Arial" w:hAnsi="Arial" w:cs="Arial"/>
          <w:sz w:val="28"/>
          <w:szCs w:val="28"/>
        </w:rPr>
        <w:t>которым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связаны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возникновение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изменение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прекращение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гражданских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обязанностей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Установленный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сделкой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назначаемый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срок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определяется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календарной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датой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истечением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периода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который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исчисляется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годами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месяцами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неделями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днями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часами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Срок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может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определяться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также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указанием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событие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которое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должно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неизбежно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наступить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7A0F555E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Течение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срока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определенного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периодом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начинается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следующий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календарной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даты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наступления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события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которым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определено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начало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статья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368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>).</w:t>
      </w:r>
    </w:p>
    <w:p w14:paraId="394AF39B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Взаимосвязанный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анализ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368 и 1146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свидетельствует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том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что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1146 </w:t>
      </w:r>
      <w:proofErr w:type="spellStart"/>
      <w:r w:rsidRPr="007A02CE">
        <w:rPr>
          <w:rFonts w:ascii="Arial" w:hAnsi="Arial" w:cs="Arial"/>
          <w:sz w:val="28"/>
          <w:szCs w:val="28"/>
        </w:rPr>
        <w:t>данного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предусматривает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особый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порядок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начала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срока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Временем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признается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либо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вступления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силу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решения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объявлении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физического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0B704FE9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Таким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образом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понятие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7A02CE">
        <w:rPr>
          <w:rFonts w:ascii="Arial" w:hAnsi="Arial" w:cs="Arial"/>
          <w:sz w:val="28"/>
          <w:szCs w:val="28"/>
        </w:rPr>
        <w:t>предусмотренное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статье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1146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регулирующей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следует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воспринимать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смысле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двадцатичетырехчасовых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суток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исчисляемых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момента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A02CE">
        <w:rPr>
          <w:rFonts w:ascii="Arial" w:hAnsi="Arial" w:cs="Arial"/>
          <w:sz w:val="28"/>
          <w:szCs w:val="28"/>
        </w:rPr>
        <w:t>как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календарная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когда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наступила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календарная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выступает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качестве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важного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критерия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разрешения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ряда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вопросов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законодательстве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связанном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Именно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этой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даты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начинается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течение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срока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предусмотренного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законодательстве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принятия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принятое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дня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признается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собственностью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A02CE">
        <w:rPr>
          <w:rFonts w:ascii="Arial" w:hAnsi="Arial" w:cs="Arial"/>
          <w:sz w:val="28"/>
          <w:szCs w:val="28"/>
        </w:rPr>
        <w:t>также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свидетельство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выдается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любое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время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истечении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шести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месяцев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дня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1246, 1255 и 1322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). </w:t>
      </w:r>
      <w:proofErr w:type="spellStart"/>
      <w:r w:rsidRPr="007A02CE">
        <w:rPr>
          <w:rFonts w:ascii="Arial" w:hAnsi="Arial" w:cs="Arial"/>
          <w:sz w:val="28"/>
          <w:szCs w:val="28"/>
        </w:rPr>
        <w:t>При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разрешении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отмеченных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вопросов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датой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открытия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считается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как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календарная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дата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7A02CE">
        <w:rPr>
          <w:rFonts w:ascii="Arial" w:hAnsi="Arial" w:cs="Arial"/>
          <w:sz w:val="28"/>
          <w:szCs w:val="28"/>
        </w:rPr>
        <w:t>течение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установленных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законодательстве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сроков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исчисляется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начиная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этой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календарной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даты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6EB665DF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основании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вышеуказанного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Пленум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приходит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следующим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выводам</w:t>
      </w:r>
      <w:proofErr w:type="spellEnd"/>
      <w:r w:rsidRPr="007A02CE">
        <w:rPr>
          <w:rFonts w:ascii="Arial" w:hAnsi="Arial" w:cs="Arial"/>
          <w:sz w:val="28"/>
          <w:szCs w:val="28"/>
        </w:rPr>
        <w:t>:</w:t>
      </w:r>
    </w:p>
    <w:p w14:paraId="666F201C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- в </w:t>
      </w:r>
      <w:proofErr w:type="spellStart"/>
      <w:r w:rsidRPr="007A02CE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статьями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1134, 1145 и 1146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смертью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физического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либо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объявлением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либо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вступления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силу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решения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объявлении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этом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находящиеся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живых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моменту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>;</w:t>
      </w:r>
    </w:p>
    <w:p w14:paraId="502FB500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применения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связи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лицами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один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обладавшими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точно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устанавливается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чего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lastRenderedPageBreak/>
        <w:t>умершее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признается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раньше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Если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установить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представляется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возможным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один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считаются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одновременно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точки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зрения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правопреемства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каждого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из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них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отдельности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применение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исключается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513FB13E" w14:textId="3350F3D8" w:rsidR="005C754C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A02CE">
        <w:rPr>
          <w:rFonts w:ascii="Arial" w:hAnsi="Arial" w:cs="Arial"/>
          <w:sz w:val="28"/>
          <w:szCs w:val="28"/>
        </w:rPr>
        <w:t>Руководствуясь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частью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VI </w:t>
      </w:r>
      <w:proofErr w:type="spellStart"/>
      <w:r w:rsidRPr="007A02CE">
        <w:rPr>
          <w:rFonts w:ascii="Arial" w:hAnsi="Arial" w:cs="Arial"/>
          <w:sz w:val="28"/>
          <w:szCs w:val="28"/>
        </w:rPr>
        <w:t>статьи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130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статьями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60, 62, 63, 65-67 и 69 </w:t>
      </w:r>
      <w:proofErr w:type="spellStart"/>
      <w:r w:rsidRPr="007A02CE">
        <w:rPr>
          <w:rFonts w:ascii="Arial" w:hAnsi="Arial" w:cs="Arial"/>
          <w:sz w:val="28"/>
          <w:szCs w:val="28"/>
        </w:rPr>
        <w:t>Закона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7A02CE">
        <w:rPr>
          <w:rFonts w:ascii="Arial" w:hAnsi="Arial" w:cs="Arial"/>
          <w:sz w:val="28"/>
          <w:szCs w:val="28"/>
        </w:rPr>
        <w:t>Пленум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</w:p>
    <w:p w14:paraId="43A76216" w14:textId="77777777" w:rsidR="007A02CE" w:rsidRPr="007A02CE" w:rsidRDefault="007A02CE" w:rsidP="00477E79">
      <w:pPr>
        <w:ind w:firstLine="567"/>
        <w:rPr>
          <w:rFonts w:ascii="Arial" w:hAnsi="Arial" w:cs="Arial"/>
          <w:sz w:val="28"/>
          <w:szCs w:val="28"/>
        </w:rPr>
      </w:pPr>
    </w:p>
    <w:p w14:paraId="137F751D" w14:textId="49296570" w:rsidR="005C754C" w:rsidRPr="007A02CE" w:rsidRDefault="005C754C" w:rsidP="007A02CE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A02CE">
        <w:rPr>
          <w:rFonts w:ascii="Arial" w:hAnsi="Arial" w:cs="Arial"/>
          <w:b/>
          <w:bCs/>
          <w:sz w:val="28"/>
          <w:szCs w:val="28"/>
        </w:rPr>
        <w:t>ПОСТАНОВИЛ:</w:t>
      </w:r>
    </w:p>
    <w:p w14:paraId="2500838B" w14:textId="77777777" w:rsidR="007A02CE" w:rsidRPr="007A02CE" w:rsidRDefault="007A02CE" w:rsidP="00477E79">
      <w:pPr>
        <w:ind w:firstLine="567"/>
        <w:rPr>
          <w:rFonts w:ascii="Arial" w:hAnsi="Arial" w:cs="Arial"/>
          <w:sz w:val="28"/>
          <w:szCs w:val="28"/>
        </w:rPr>
      </w:pPr>
    </w:p>
    <w:p w14:paraId="1BBC87FE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1. В </w:t>
      </w:r>
      <w:proofErr w:type="spellStart"/>
      <w:r w:rsidRPr="007A02CE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статьями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1134, 1145 и 1146 </w:t>
      </w:r>
      <w:proofErr w:type="spellStart"/>
      <w:r w:rsidRPr="007A02CE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кодекса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смертью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физического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либо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объявлением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либо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вступления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силу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решения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объявлении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при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этом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могут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находящиеся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живых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A02CE">
        <w:rPr>
          <w:rFonts w:ascii="Arial" w:hAnsi="Arial" w:cs="Arial"/>
          <w:sz w:val="28"/>
          <w:szCs w:val="28"/>
        </w:rPr>
        <w:t>моменту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2AB9E66E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применения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связи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лицами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один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обладавшими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наследования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друга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точно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устанавливается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смерти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наследодателя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после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чего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умершее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признается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наследником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раньше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A02CE">
        <w:rPr>
          <w:rFonts w:ascii="Arial" w:hAnsi="Arial" w:cs="Arial"/>
          <w:sz w:val="28"/>
          <w:szCs w:val="28"/>
        </w:rPr>
        <w:t>Если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установить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данный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момент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представляется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возможным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то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один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день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считаются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лицами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умершими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одновременно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A02CE">
        <w:rPr>
          <w:rFonts w:ascii="Arial" w:hAnsi="Arial" w:cs="Arial"/>
          <w:sz w:val="28"/>
          <w:szCs w:val="28"/>
        </w:rPr>
        <w:t>точки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зрения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правопреемства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для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каждого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из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них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отдельности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открывается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применение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наследственной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трансмиссии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исключается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38C9C48E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7A02CE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вступает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силу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дня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опубликования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2F865713" w14:textId="77777777" w:rsidR="005C754C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7A02CE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опубликовать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A02CE">
        <w:rPr>
          <w:rFonts w:ascii="Arial" w:hAnsi="Arial" w:cs="Arial"/>
          <w:sz w:val="28"/>
          <w:szCs w:val="28"/>
        </w:rPr>
        <w:t>газетах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</w:t>
      </w:r>
      <w:proofErr w:type="spellEnd"/>
      <w:r w:rsidRPr="007A02CE">
        <w:rPr>
          <w:rFonts w:ascii="Arial" w:hAnsi="Arial" w:cs="Arial"/>
          <w:sz w:val="28"/>
          <w:szCs w:val="28"/>
        </w:rPr>
        <w:t>”, “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Республика</w:t>
      </w:r>
      <w:proofErr w:type="spellEnd"/>
      <w:r w:rsidRPr="007A02CE">
        <w:rPr>
          <w:rFonts w:ascii="Arial" w:hAnsi="Arial" w:cs="Arial"/>
          <w:sz w:val="28"/>
          <w:szCs w:val="28"/>
        </w:rPr>
        <w:t>”, “</w:t>
      </w:r>
      <w:proofErr w:type="spellStart"/>
      <w:r w:rsidRPr="007A02CE">
        <w:rPr>
          <w:rFonts w:ascii="Arial" w:hAnsi="Arial" w:cs="Arial"/>
          <w:sz w:val="28"/>
          <w:szCs w:val="28"/>
        </w:rPr>
        <w:t>Халг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газети</w:t>
      </w:r>
      <w:proofErr w:type="spellEnd"/>
      <w:r w:rsidRPr="007A02CE">
        <w:rPr>
          <w:rFonts w:ascii="Arial" w:hAnsi="Arial" w:cs="Arial"/>
          <w:sz w:val="28"/>
          <w:szCs w:val="28"/>
        </w:rPr>
        <w:t>”, “</w:t>
      </w:r>
      <w:proofErr w:type="spellStart"/>
      <w:r w:rsidRPr="007A02CE">
        <w:rPr>
          <w:rFonts w:ascii="Arial" w:hAnsi="Arial" w:cs="Arial"/>
          <w:sz w:val="28"/>
          <w:szCs w:val="28"/>
        </w:rPr>
        <w:t>Бакинский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рабочий</w:t>
      </w:r>
      <w:proofErr w:type="spellEnd"/>
      <w:r w:rsidRPr="007A02CE">
        <w:rPr>
          <w:rFonts w:ascii="Arial" w:hAnsi="Arial" w:cs="Arial"/>
          <w:sz w:val="28"/>
          <w:szCs w:val="28"/>
        </w:rPr>
        <w:t>” и “</w:t>
      </w:r>
      <w:proofErr w:type="spellStart"/>
      <w:r w:rsidRPr="007A02CE">
        <w:rPr>
          <w:rFonts w:ascii="Arial" w:hAnsi="Arial" w:cs="Arial"/>
          <w:sz w:val="28"/>
          <w:szCs w:val="28"/>
        </w:rPr>
        <w:t>Вестнике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суда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Республики</w:t>
      </w:r>
      <w:proofErr w:type="spellEnd"/>
      <w:r w:rsidRPr="007A02CE">
        <w:rPr>
          <w:rFonts w:ascii="Arial" w:hAnsi="Arial" w:cs="Arial"/>
          <w:sz w:val="28"/>
          <w:szCs w:val="28"/>
        </w:rPr>
        <w:t>”.</w:t>
      </w:r>
    </w:p>
    <w:p w14:paraId="4FC7456C" w14:textId="46C3734A" w:rsidR="00326DE9" w:rsidRPr="007A02CE" w:rsidRDefault="005C754C" w:rsidP="00477E79">
      <w:pPr>
        <w:ind w:firstLine="567"/>
        <w:rPr>
          <w:rFonts w:ascii="Arial" w:hAnsi="Arial" w:cs="Arial"/>
          <w:sz w:val="28"/>
          <w:szCs w:val="28"/>
        </w:rPr>
      </w:pPr>
      <w:r w:rsidRPr="007A02CE">
        <w:rPr>
          <w:rFonts w:ascii="Arial" w:hAnsi="Arial" w:cs="Arial"/>
          <w:sz w:val="28"/>
          <w:szCs w:val="28"/>
        </w:rPr>
        <w:t xml:space="preserve">5. </w:t>
      </w:r>
      <w:proofErr w:type="spellStart"/>
      <w:r w:rsidRPr="007A02CE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является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окончательным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A02CE">
        <w:rPr>
          <w:rFonts w:ascii="Arial" w:hAnsi="Arial" w:cs="Arial"/>
          <w:sz w:val="28"/>
          <w:szCs w:val="28"/>
        </w:rPr>
        <w:t>не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может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быть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отменено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A02CE">
        <w:rPr>
          <w:rFonts w:ascii="Arial" w:hAnsi="Arial" w:cs="Arial"/>
          <w:sz w:val="28"/>
          <w:szCs w:val="28"/>
        </w:rPr>
        <w:t>изменено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официально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истолковано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ни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одним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органом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или</w:t>
      </w:r>
      <w:proofErr w:type="spellEnd"/>
      <w:r w:rsidRPr="007A02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sz w:val="28"/>
          <w:szCs w:val="28"/>
        </w:rPr>
        <w:t>лицом</w:t>
      </w:r>
      <w:proofErr w:type="spellEnd"/>
      <w:r w:rsidRPr="007A02CE">
        <w:rPr>
          <w:rFonts w:ascii="Arial" w:hAnsi="Arial" w:cs="Arial"/>
          <w:sz w:val="28"/>
          <w:szCs w:val="28"/>
        </w:rPr>
        <w:t>.</w:t>
      </w:r>
    </w:p>
    <w:p w14:paraId="532AAEBB" w14:textId="277E1566" w:rsidR="00477E79" w:rsidRPr="007A02CE" w:rsidRDefault="00477E79" w:rsidP="00477E79">
      <w:pPr>
        <w:ind w:firstLine="567"/>
        <w:rPr>
          <w:rFonts w:ascii="Arial" w:hAnsi="Arial" w:cs="Arial"/>
          <w:sz w:val="28"/>
          <w:szCs w:val="28"/>
        </w:rPr>
      </w:pPr>
    </w:p>
    <w:p w14:paraId="7A5387FA" w14:textId="77777777" w:rsidR="00477E79" w:rsidRPr="007A02CE" w:rsidRDefault="00477E79" w:rsidP="00477E79">
      <w:pPr>
        <w:ind w:firstLine="567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A02CE">
        <w:rPr>
          <w:rFonts w:ascii="Arial" w:hAnsi="Arial" w:cs="Arial"/>
          <w:b/>
          <w:bCs/>
          <w:sz w:val="28"/>
          <w:szCs w:val="28"/>
        </w:rPr>
        <w:t>Председатель</w:t>
      </w:r>
      <w:proofErr w:type="spellEnd"/>
      <w:r w:rsidRPr="007A02CE">
        <w:rPr>
          <w:rFonts w:ascii="Arial" w:hAnsi="Arial" w:cs="Arial"/>
          <w:b/>
          <w:bCs/>
          <w:sz w:val="28"/>
          <w:szCs w:val="28"/>
        </w:rPr>
        <w:t xml:space="preserve">                        </w:t>
      </w:r>
      <w:proofErr w:type="spellStart"/>
      <w:r w:rsidRPr="007A02CE">
        <w:rPr>
          <w:rFonts w:ascii="Arial" w:hAnsi="Arial" w:cs="Arial"/>
          <w:b/>
          <w:bCs/>
          <w:sz w:val="28"/>
          <w:szCs w:val="28"/>
        </w:rPr>
        <w:t>Фархад</w:t>
      </w:r>
      <w:proofErr w:type="spellEnd"/>
      <w:r w:rsidRPr="007A02C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A02CE">
        <w:rPr>
          <w:rFonts w:ascii="Arial" w:hAnsi="Arial" w:cs="Arial"/>
          <w:b/>
          <w:bCs/>
          <w:sz w:val="28"/>
          <w:szCs w:val="28"/>
        </w:rPr>
        <w:t>Абдуллаев</w:t>
      </w:r>
      <w:proofErr w:type="spellEnd"/>
    </w:p>
    <w:p w14:paraId="2B07BF40" w14:textId="77777777" w:rsidR="00477E79" w:rsidRPr="007A02CE" w:rsidRDefault="00477E79" w:rsidP="00477E79">
      <w:pPr>
        <w:ind w:firstLine="567"/>
        <w:rPr>
          <w:rFonts w:ascii="Arial" w:hAnsi="Arial" w:cs="Arial"/>
          <w:sz w:val="28"/>
          <w:szCs w:val="28"/>
        </w:rPr>
      </w:pPr>
    </w:p>
    <w:sectPr w:rsidR="00477E79" w:rsidRPr="007A02CE" w:rsidSect="00506E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EC7"/>
    <w:rsid w:val="00074D85"/>
    <w:rsid w:val="000A5320"/>
    <w:rsid w:val="0023042D"/>
    <w:rsid w:val="00326DE9"/>
    <w:rsid w:val="003A2BA5"/>
    <w:rsid w:val="003B0562"/>
    <w:rsid w:val="003B30D4"/>
    <w:rsid w:val="0044553C"/>
    <w:rsid w:val="00477E79"/>
    <w:rsid w:val="00506EC7"/>
    <w:rsid w:val="0059494F"/>
    <w:rsid w:val="005C754C"/>
    <w:rsid w:val="00716AB3"/>
    <w:rsid w:val="00735701"/>
    <w:rsid w:val="007A02CE"/>
    <w:rsid w:val="00815BAD"/>
    <w:rsid w:val="008653A9"/>
    <w:rsid w:val="008859E9"/>
    <w:rsid w:val="00894CB7"/>
    <w:rsid w:val="008C735A"/>
    <w:rsid w:val="00CD6D32"/>
    <w:rsid w:val="00E10CA9"/>
    <w:rsid w:val="00F3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F332"/>
  <w15:docId w15:val="{54037CFA-DA08-49AC-AD9D-0448FC10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AD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12422</Words>
  <Characters>7082</Characters>
  <Application>Microsoft Office Word</Application>
  <DocSecurity>0</DocSecurity>
  <Lines>59</Lines>
  <Paragraphs>38</Paragraphs>
  <ScaleCrop>false</ScaleCrop>
  <Company>Microsoft</Company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Anar Hacizade</cp:lastModifiedBy>
  <cp:revision>6</cp:revision>
  <dcterms:created xsi:type="dcterms:W3CDTF">2021-04-09T06:24:00Z</dcterms:created>
  <dcterms:modified xsi:type="dcterms:W3CDTF">2021-04-09T09:00:00Z</dcterms:modified>
</cp:coreProperties>
</file>