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12" w:rsidRPr="0072162B" w:rsidRDefault="00FB0412" w:rsidP="0072162B">
      <w:pPr>
        <w:spacing w:after="0"/>
        <w:ind w:firstLine="567"/>
        <w:jc w:val="both"/>
        <w:rPr>
          <w:rFonts w:ascii="Times New Roman" w:hAnsi="Times New Roman"/>
          <w:sz w:val="28"/>
          <w:szCs w:val="28"/>
        </w:rPr>
      </w:pPr>
    </w:p>
    <w:p w:rsidR="00411B00" w:rsidRPr="0072162B" w:rsidRDefault="00411B00" w:rsidP="0072162B">
      <w:pPr>
        <w:spacing w:after="0"/>
        <w:jc w:val="center"/>
        <w:rPr>
          <w:rFonts w:ascii="Times New Roman" w:hAnsi="Times New Roman"/>
          <w:b/>
          <w:sz w:val="28"/>
          <w:szCs w:val="28"/>
        </w:rPr>
      </w:pPr>
      <w:r w:rsidRPr="0072162B">
        <w:rPr>
          <w:rFonts w:ascii="Times New Roman" w:hAnsi="Times New Roman"/>
          <w:b/>
          <w:sz w:val="28"/>
          <w:szCs w:val="28"/>
        </w:rPr>
        <w:t>AZƏRBAYCAN RESPUBLİKASI ADINDAN</w:t>
      </w:r>
    </w:p>
    <w:p w:rsidR="00411B00" w:rsidRPr="0072162B" w:rsidRDefault="00411B00" w:rsidP="0072162B">
      <w:pPr>
        <w:spacing w:after="0"/>
        <w:jc w:val="center"/>
        <w:rPr>
          <w:rFonts w:ascii="Times New Roman" w:hAnsi="Times New Roman"/>
          <w:b/>
          <w:sz w:val="28"/>
          <w:szCs w:val="28"/>
        </w:rPr>
      </w:pPr>
    </w:p>
    <w:p w:rsidR="00411B00" w:rsidRPr="0072162B" w:rsidRDefault="00411B00" w:rsidP="0072162B">
      <w:pPr>
        <w:spacing w:after="0"/>
        <w:jc w:val="center"/>
        <w:rPr>
          <w:rFonts w:ascii="Times New Roman" w:hAnsi="Times New Roman"/>
          <w:b/>
          <w:sz w:val="28"/>
          <w:szCs w:val="28"/>
        </w:rPr>
      </w:pPr>
      <w:r w:rsidRPr="0072162B">
        <w:rPr>
          <w:rFonts w:ascii="Times New Roman" w:hAnsi="Times New Roman"/>
          <w:b/>
          <w:sz w:val="28"/>
          <w:szCs w:val="28"/>
        </w:rPr>
        <w:t>Azərbaycan Respublikası</w:t>
      </w:r>
    </w:p>
    <w:p w:rsidR="00411B00" w:rsidRPr="0072162B" w:rsidRDefault="00411B00" w:rsidP="0072162B">
      <w:pPr>
        <w:spacing w:after="0"/>
        <w:jc w:val="center"/>
        <w:rPr>
          <w:rFonts w:ascii="Times New Roman" w:hAnsi="Times New Roman"/>
          <w:b/>
          <w:sz w:val="28"/>
          <w:szCs w:val="28"/>
        </w:rPr>
      </w:pPr>
      <w:r w:rsidRPr="0072162B">
        <w:rPr>
          <w:rFonts w:ascii="Times New Roman" w:hAnsi="Times New Roman"/>
          <w:b/>
          <w:sz w:val="28"/>
          <w:szCs w:val="28"/>
        </w:rPr>
        <w:t>Konstitusiya Məhkəməsi Plenumunun</w:t>
      </w:r>
    </w:p>
    <w:p w:rsidR="00411B00" w:rsidRPr="0072162B" w:rsidRDefault="00411B00" w:rsidP="0072162B">
      <w:pPr>
        <w:spacing w:after="0"/>
        <w:jc w:val="center"/>
        <w:rPr>
          <w:rFonts w:ascii="Times New Roman" w:hAnsi="Times New Roman"/>
          <w:b/>
          <w:sz w:val="28"/>
          <w:szCs w:val="28"/>
        </w:rPr>
      </w:pPr>
    </w:p>
    <w:p w:rsidR="00E529CF" w:rsidRPr="0072162B" w:rsidRDefault="00411B00" w:rsidP="0072162B">
      <w:pPr>
        <w:spacing w:after="0"/>
        <w:jc w:val="center"/>
        <w:rPr>
          <w:rFonts w:ascii="Times New Roman" w:hAnsi="Times New Roman"/>
          <w:b/>
          <w:sz w:val="28"/>
          <w:szCs w:val="28"/>
        </w:rPr>
      </w:pPr>
      <w:r w:rsidRPr="0072162B">
        <w:rPr>
          <w:rFonts w:ascii="Times New Roman" w:hAnsi="Times New Roman"/>
          <w:b/>
          <w:sz w:val="28"/>
          <w:szCs w:val="28"/>
        </w:rPr>
        <w:t>QƏRARI</w:t>
      </w:r>
    </w:p>
    <w:p w:rsidR="00FB0412" w:rsidRPr="0072162B" w:rsidRDefault="00FB0412" w:rsidP="0072162B">
      <w:pPr>
        <w:spacing w:after="0"/>
        <w:jc w:val="center"/>
        <w:rPr>
          <w:rFonts w:ascii="Times New Roman" w:hAnsi="Times New Roman"/>
          <w:i/>
          <w:sz w:val="28"/>
          <w:szCs w:val="28"/>
        </w:rPr>
      </w:pPr>
    </w:p>
    <w:p w:rsidR="00E529CF" w:rsidRPr="0072162B" w:rsidRDefault="006E676B" w:rsidP="0072162B">
      <w:pPr>
        <w:spacing w:after="0"/>
        <w:jc w:val="center"/>
        <w:rPr>
          <w:rFonts w:ascii="Times New Roman" w:hAnsi="Times New Roman"/>
          <w:i/>
          <w:sz w:val="28"/>
          <w:szCs w:val="28"/>
        </w:rPr>
      </w:pPr>
      <w:r w:rsidRPr="0072162B">
        <w:rPr>
          <w:rFonts w:ascii="Times New Roman" w:hAnsi="Times New Roman"/>
          <w:i/>
          <w:sz w:val="28"/>
          <w:szCs w:val="28"/>
        </w:rPr>
        <w:t>“Əmanətlərin sığortalanması haqqında” Azərbaycan Respublikası Qanununun  2.1.2.6-cı maddəsinin şərh edilməsin</w:t>
      </w:r>
      <w:r w:rsidR="00E529CF" w:rsidRPr="0072162B">
        <w:rPr>
          <w:rFonts w:ascii="Times New Roman" w:hAnsi="Times New Roman"/>
          <w:i/>
          <w:sz w:val="28"/>
          <w:szCs w:val="28"/>
        </w:rPr>
        <w:t>ə dair</w:t>
      </w:r>
    </w:p>
    <w:p w:rsidR="00B85F35" w:rsidRPr="0072162B" w:rsidRDefault="00B85F35" w:rsidP="0072162B">
      <w:pPr>
        <w:spacing w:after="0"/>
        <w:jc w:val="center"/>
        <w:rPr>
          <w:rFonts w:ascii="Times New Roman" w:hAnsi="Times New Roman"/>
          <w:b/>
          <w:sz w:val="28"/>
          <w:szCs w:val="28"/>
        </w:rPr>
      </w:pPr>
    </w:p>
    <w:p w:rsidR="0066784D" w:rsidRPr="0072162B" w:rsidRDefault="0066784D" w:rsidP="0072162B">
      <w:pPr>
        <w:spacing w:after="0"/>
        <w:jc w:val="center"/>
        <w:rPr>
          <w:rFonts w:ascii="Times New Roman" w:hAnsi="Times New Roman"/>
          <w:b/>
          <w:sz w:val="28"/>
          <w:szCs w:val="28"/>
        </w:rPr>
      </w:pPr>
    </w:p>
    <w:p w:rsidR="0066784D" w:rsidRPr="0072162B" w:rsidRDefault="00A5026C" w:rsidP="0072162B">
      <w:pPr>
        <w:spacing w:after="0"/>
        <w:jc w:val="center"/>
        <w:rPr>
          <w:rFonts w:ascii="Times New Roman" w:hAnsi="Times New Roman"/>
          <w:b/>
          <w:sz w:val="28"/>
          <w:szCs w:val="28"/>
        </w:rPr>
      </w:pPr>
      <w:r w:rsidRPr="0072162B">
        <w:rPr>
          <w:rFonts w:ascii="Times New Roman" w:hAnsi="Times New Roman"/>
          <w:b/>
          <w:sz w:val="28"/>
          <w:szCs w:val="28"/>
        </w:rPr>
        <w:t xml:space="preserve">5 sentyabr </w:t>
      </w:r>
      <w:r w:rsidR="00B85F35" w:rsidRPr="0072162B">
        <w:rPr>
          <w:rFonts w:ascii="Times New Roman" w:hAnsi="Times New Roman"/>
          <w:b/>
          <w:sz w:val="28"/>
          <w:szCs w:val="28"/>
        </w:rPr>
        <w:t>2018-ci</w:t>
      </w:r>
      <w:r w:rsidR="00B82355" w:rsidRPr="0072162B">
        <w:rPr>
          <w:rFonts w:ascii="Times New Roman" w:hAnsi="Times New Roman"/>
          <w:b/>
          <w:sz w:val="28"/>
          <w:szCs w:val="28"/>
        </w:rPr>
        <w:t xml:space="preserve"> il</w:t>
      </w:r>
      <w:r w:rsidR="00FB0412" w:rsidRPr="0072162B">
        <w:rPr>
          <w:rFonts w:ascii="Times New Roman" w:hAnsi="Times New Roman"/>
          <w:b/>
          <w:sz w:val="28"/>
          <w:szCs w:val="28"/>
        </w:rPr>
        <w:t xml:space="preserve"> </w:t>
      </w:r>
      <w:r w:rsidR="00B82355" w:rsidRPr="0072162B">
        <w:rPr>
          <w:rFonts w:ascii="Times New Roman" w:hAnsi="Times New Roman"/>
          <w:b/>
          <w:sz w:val="28"/>
          <w:szCs w:val="28"/>
        </w:rPr>
        <w:t xml:space="preserve">    </w:t>
      </w:r>
      <w:r w:rsidR="00FB0412" w:rsidRPr="0072162B">
        <w:rPr>
          <w:rFonts w:ascii="Times New Roman" w:hAnsi="Times New Roman"/>
          <w:b/>
          <w:sz w:val="28"/>
          <w:szCs w:val="28"/>
        </w:rPr>
        <w:t xml:space="preserve">              </w:t>
      </w:r>
      <w:r w:rsidR="00B85F35" w:rsidRPr="0072162B">
        <w:rPr>
          <w:rFonts w:ascii="Times New Roman" w:hAnsi="Times New Roman"/>
          <w:b/>
          <w:sz w:val="28"/>
          <w:szCs w:val="28"/>
        </w:rPr>
        <w:t>               </w:t>
      </w:r>
      <w:r w:rsidR="00FB0412" w:rsidRPr="0072162B">
        <w:rPr>
          <w:rFonts w:ascii="Times New Roman" w:hAnsi="Times New Roman"/>
          <w:b/>
          <w:sz w:val="28"/>
          <w:szCs w:val="28"/>
        </w:rPr>
        <w:t xml:space="preserve">                   </w:t>
      </w:r>
      <w:r w:rsidR="00B85F35" w:rsidRPr="0072162B">
        <w:rPr>
          <w:rFonts w:ascii="Times New Roman" w:hAnsi="Times New Roman"/>
          <w:b/>
          <w:sz w:val="28"/>
          <w:szCs w:val="28"/>
        </w:rPr>
        <w:t>                                  Bakı şəhəri</w:t>
      </w:r>
    </w:p>
    <w:p w:rsidR="00431CF3" w:rsidRPr="0072162B" w:rsidRDefault="00431CF3" w:rsidP="0072162B">
      <w:pPr>
        <w:spacing w:after="0"/>
        <w:ind w:firstLine="567"/>
        <w:jc w:val="both"/>
        <w:rPr>
          <w:rFonts w:ascii="Times New Roman" w:hAnsi="Times New Roman"/>
          <w:sz w:val="28"/>
          <w:szCs w:val="28"/>
        </w:rPr>
      </w:pPr>
    </w:p>
    <w:p w:rsidR="00FB0412" w:rsidRPr="0072162B" w:rsidRDefault="00431CF3" w:rsidP="0072162B">
      <w:pPr>
        <w:spacing w:after="0"/>
        <w:ind w:firstLine="567"/>
        <w:jc w:val="both"/>
        <w:rPr>
          <w:rFonts w:ascii="Times New Roman" w:hAnsi="Times New Roman"/>
          <w:sz w:val="28"/>
          <w:szCs w:val="28"/>
        </w:rPr>
      </w:pPr>
      <w:r w:rsidRPr="0072162B">
        <w:rPr>
          <w:rFonts w:ascii="Times New Roman" w:hAnsi="Times New Roman"/>
          <w:sz w:val="28"/>
          <w:szCs w:val="28"/>
        </w:rPr>
        <w:t>Azərbaycan Respublikası Konstitusiya Məhkəməsinin Plenumu Fərhad Abdullayev (sədr), Sona Salmanova, Ceyhun Qaracayev, Rafael Qvaladze, Mahir Muradov, İsa Nəcəfov və Kamran Şəfiyevdən (məruzəçi-hakim) ibarət tərkibdə,</w:t>
      </w:r>
    </w:p>
    <w:p w:rsidR="00FB0412" w:rsidRPr="0072162B" w:rsidRDefault="00431CF3" w:rsidP="0072162B">
      <w:pPr>
        <w:spacing w:after="0"/>
        <w:ind w:firstLine="567"/>
        <w:jc w:val="both"/>
        <w:rPr>
          <w:rFonts w:ascii="Times New Roman" w:hAnsi="Times New Roman"/>
          <w:sz w:val="28"/>
          <w:szCs w:val="28"/>
        </w:rPr>
      </w:pPr>
      <w:r w:rsidRPr="0072162B">
        <w:rPr>
          <w:rFonts w:ascii="Times New Roman" w:hAnsi="Times New Roman"/>
          <w:sz w:val="28"/>
          <w:szCs w:val="28"/>
        </w:rPr>
        <w:t>məhkəmə katibi Fəraid Əliyevin,</w:t>
      </w:r>
    </w:p>
    <w:p w:rsidR="00FB0412" w:rsidRPr="005E1091" w:rsidRDefault="00431CF3" w:rsidP="005E1091">
      <w:pPr>
        <w:ind w:firstLine="567"/>
        <w:jc w:val="both"/>
        <w:rPr>
          <w:rFonts w:ascii="Times New Roman" w:hAnsi="Times New Roman"/>
          <w:sz w:val="28"/>
          <w:szCs w:val="28"/>
        </w:rPr>
      </w:pPr>
      <w:r w:rsidRPr="005E1091">
        <w:rPr>
          <w:rFonts w:ascii="Times New Roman" w:hAnsi="Times New Roman"/>
          <w:sz w:val="28"/>
          <w:szCs w:val="28"/>
        </w:rPr>
        <w:t>maraqlı subyektlərin nümayəndələri –</w:t>
      </w:r>
      <w:r w:rsidR="00325AF4" w:rsidRPr="005E1091">
        <w:rPr>
          <w:rFonts w:ascii="Times New Roman" w:hAnsi="Times New Roman"/>
          <w:sz w:val="28"/>
          <w:szCs w:val="28"/>
        </w:rPr>
        <w:t xml:space="preserve"> Azərbaycan Respublikası Nazirlər Kabinetinin nümayəndələri</w:t>
      </w:r>
      <w:r w:rsidRPr="005E1091">
        <w:rPr>
          <w:rFonts w:ascii="Times New Roman" w:hAnsi="Times New Roman"/>
          <w:sz w:val="28"/>
          <w:szCs w:val="28"/>
        </w:rPr>
        <w:t xml:space="preserve"> </w:t>
      </w:r>
      <w:r w:rsidR="00325AF4" w:rsidRPr="005E1091">
        <w:rPr>
          <w:rFonts w:ascii="Times New Roman" w:hAnsi="Times New Roman"/>
          <w:sz w:val="28"/>
          <w:szCs w:val="28"/>
        </w:rPr>
        <w:t>Azə</w:t>
      </w:r>
      <w:r w:rsidR="00A4772E" w:rsidRPr="005E1091">
        <w:rPr>
          <w:rFonts w:ascii="Times New Roman" w:hAnsi="Times New Roman"/>
          <w:sz w:val="28"/>
          <w:szCs w:val="28"/>
        </w:rPr>
        <w:t>rbaycan Respublikası</w:t>
      </w:r>
      <w:r w:rsidR="00325AF4" w:rsidRPr="005E1091">
        <w:rPr>
          <w:rFonts w:ascii="Times New Roman" w:hAnsi="Times New Roman"/>
          <w:sz w:val="28"/>
          <w:szCs w:val="28"/>
        </w:rPr>
        <w:t xml:space="preserve"> Maliyyə Bazarlarına Nəzarət Palatasının Hüquq və icraat </w:t>
      </w:r>
      <w:r w:rsidR="00633727" w:rsidRPr="005E1091">
        <w:rPr>
          <w:rFonts w:ascii="Times New Roman" w:hAnsi="Times New Roman"/>
          <w:sz w:val="28"/>
          <w:szCs w:val="28"/>
        </w:rPr>
        <w:t>d</w:t>
      </w:r>
      <w:r w:rsidR="00325AF4" w:rsidRPr="005E1091">
        <w:rPr>
          <w:rFonts w:ascii="Times New Roman" w:hAnsi="Times New Roman"/>
          <w:sz w:val="28"/>
          <w:szCs w:val="28"/>
        </w:rPr>
        <w:t>epartamentinin Problemli maliyyə sahələri ilə iş sektorunun böyük hüquqşünası Məhəmməd Həsənli,</w:t>
      </w:r>
      <w:r w:rsidR="0087374B" w:rsidRPr="005E1091">
        <w:rPr>
          <w:rFonts w:ascii="Times New Roman" w:hAnsi="Times New Roman"/>
          <w:sz w:val="28"/>
          <w:szCs w:val="28"/>
        </w:rPr>
        <w:t xml:space="preserve"> </w:t>
      </w:r>
      <w:r w:rsidR="005E1091" w:rsidRPr="005E1091">
        <w:rPr>
          <w:rFonts w:ascii="Times New Roman" w:hAnsi="Times New Roman"/>
          <w:sz w:val="28"/>
          <w:szCs w:val="28"/>
        </w:rPr>
        <w:t>Əmanətlərin Sığortalanması Fondunun Maliyyə departamentinin direktor müavini Aslan Zeynalov və Hüquq Departamentinin Korporativ hüquq şöbəsinin müdiri Həmidə Quliyeva</w:t>
      </w:r>
      <w:r w:rsidR="0087374B" w:rsidRPr="005E1091">
        <w:rPr>
          <w:rFonts w:ascii="Times New Roman" w:hAnsi="Times New Roman"/>
          <w:sz w:val="28"/>
          <w:szCs w:val="28"/>
        </w:rPr>
        <w:t>,</w:t>
      </w:r>
      <w:r w:rsidR="00DF7506" w:rsidRPr="005E1091">
        <w:rPr>
          <w:rFonts w:ascii="Times New Roman" w:hAnsi="Times New Roman"/>
          <w:sz w:val="28"/>
          <w:szCs w:val="28"/>
        </w:rPr>
        <w:t xml:space="preserve"> Azərbaycan Respublikası Milli Məclisi Aparatının</w:t>
      </w:r>
      <w:r w:rsidR="001534E1" w:rsidRPr="005E1091">
        <w:rPr>
          <w:rFonts w:ascii="Times New Roman" w:hAnsi="Times New Roman"/>
          <w:sz w:val="28"/>
          <w:szCs w:val="28"/>
        </w:rPr>
        <w:t xml:space="preserve"> İqtisadi qanunvericilik şöbəsinin</w:t>
      </w:r>
      <w:r w:rsidR="00DF7506" w:rsidRPr="005E1091">
        <w:rPr>
          <w:rFonts w:ascii="Times New Roman" w:hAnsi="Times New Roman"/>
          <w:sz w:val="28"/>
          <w:szCs w:val="28"/>
        </w:rPr>
        <w:t xml:space="preserve"> sektor müdiri Nadir Sultanovun,</w:t>
      </w:r>
    </w:p>
    <w:p w:rsidR="00FB0412" w:rsidRPr="0072162B" w:rsidRDefault="00431CF3" w:rsidP="0072162B">
      <w:pPr>
        <w:spacing w:after="0"/>
        <w:ind w:firstLine="567"/>
        <w:jc w:val="both"/>
        <w:rPr>
          <w:rFonts w:ascii="Times New Roman" w:hAnsi="Times New Roman"/>
          <w:sz w:val="28"/>
          <w:szCs w:val="28"/>
        </w:rPr>
      </w:pPr>
      <w:r w:rsidRPr="0072162B">
        <w:rPr>
          <w:rFonts w:ascii="Times New Roman" w:hAnsi="Times New Roman"/>
          <w:sz w:val="28"/>
          <w:szCs w:val="28"/>
        </w:rPr>
        <w:t>ekspert Bakı Dövlət Universitetinin Mülki proses və kommersiya hüququ kafedrasının dosenti, hüquq üzrə fəlsəfə doktoru Əsmər Əliyevanın,</w:t>
      </w:r>
    </w:p>
    <w:p w:rsidR="00FB0412" w:rsidRPr="0072162B" w:rsidRDefault="00DF7506" w:rsidP="0072162B">
      <w:pPr>
        <w:spacing w:after="0"/>
        <w:ind w:firstLine="567"/>
        <w:jc w:val="both"/>
        <w:rPr>
          <w:rFonts w:ascii="Times New Roman" w:hAnsi="Times New Roman"/>
          <w:sz w:val="28"/>
          <w:szCs w:val="28"/>
        </w:rPr>
      </w:pPr>
      <w:r w:rsidRPr="0072162B">
        <w:rPr>
          <w:rFonts w:ascii="Times New Roman" w:hAnsi="Times New Roman"/>
          <w:sz w:val="28"/>
          <w:szCs w:val="28"/>
        </w:rPr>
        <w:t>mütəxəssislər Bakı Apellyasiya Məhkəməsinin hakimi Həmid Həmidov</w:t>
      </w:r>
      <w:r w:rsidR="00B528FE" w:rsidRPr="0072162B">
        <w:rPr>
          <w:rFonts w:ascii="Times New Roman" w:hAnsi="Times New Roman"/>
          <w:sz w:val="28"/>
          <w:szCs w:val="28"/>
        </w:rPr>
        <w:t xml:space="preserve"> və </w:t>
      </w:r>
      <w:r w:rsidRPr="0072162B">
        <w:rPr>
          <w:rFonts w:ascii="Times New Roman" w:hAnsi="Times New Roman"/>
          <w:sz w:val="28"/>
          <w:szCs w:val="28"/>
        </w:rPr>
        <w:t>Azərbaycan Respublikası Mərkəzi Bankının Korporativ hüquq şöbəsinin aparıcı məsləhətçisi Pərviz Hüseynovun iştirakı ilə,</w:t>
      </w:r>
    </w:p>
    <w:p w:rsidR="00FB0412" w:rsidRPr="0072162B" w:rsidRDefault="00431CF3"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Azərbaycan Respublikası Konstitusiyasının 130-cu maddəsinin IV hissəsinə müvafiq olaraq </w:t>
      </w:r>
      <w:r w:rsidR="00B528FE" w:rsidRPr="0072162B">
        <w:rPr>
          <w:rFonts w:ascii="Times New Roman" w:hAnsi="Times New Roman"/>
          <w:sz w:val="28"/>
          <w:szCs w:val="28"/>
        </w:rPr>
        <w:t>xüsusi konstitusiya icraatı qaydasında</w:t>
      </w:r>
      <w:r w:rsidRPr="0072162B">
        <w:rPr>
          <w:rFonts w:ascii="Times New Roman" w:hAnsi="Times New Roman"/>
          <w:sz w:val="28"/>
          <w:szCs w:val="28"/>
        </w:rPr>
        <w:t xml:space="preserve"> açıq məhkəmə iclasında Azərbaycan Respublikası Nazirlər Kabinetinin sorğusu əsasında</w:t>
      </w:r>
      <w:r w:rsidR="00C70D82" w:rsidRPr="0072162B">
        <w:rPr>
          <w:rFonts w:ascii="Times New Roman" w:hAnsi="Times New Roman"/>
          <w:sz w:val="28"/>
          <w:szCs w:val="28"/>
        </w:rPr>
        <w:t xml:space="preserve"> “Əmanətlərin sığortalanması haqqında” Azərbaycan Respublikası Qanununun 2.1.2.6-cı maddəsinin</w:t>
      </w:r>
      <w:r w:rsidR="00BF0012" w:rsidRPr="0072162B">
        <w:rPr>
          <w:rFonts w:ascii="Times New Roman" w:hAnsi="Times New Roman"/>
          <w:sz w:val="28"/>
          <w:szCs w:val="28"/>
        </w:rPr>
        <w:t xml:space="preserve"> </w:t>
      </w:r>
      <w:r w:rsidRPr="0072162B">
        <w:rPr>
          <w:rFonts w:ascii="Times New Roman" w:hAnsi="Times New Roman"/>
          <w:sz w:val="28"/>
          <w:szCs w:val="28"/>
        </w:rPr>
        <w:t xml:space="preserve"> şərh edilməsinə dair konstitusiya işinə baxdı.</w:t>
      </w:r>
    </w:p>
    <w:p w:rsidR="00431CF3" w:rsidRPr="0072162B" w:rsidRDefault="00431CF3" w:rsidP="0072162B">
      <w:pPr>
        <w:spacing w:after="0"/>
        <w:ind w:firstLine="567"/>
        <w:jc w:val="both"/>
        <w:rPr>
          <w:rFonts w:ascii="Times New Roman" w:hAnsi="Times New Roman"/>
          <w:sz w:val="28"/>
          <w:szCs w:val="28"/>
        </w:rPr>
      </w:pPr>
      <w:r w:rsidRPr="0072162B">
        <w:rPr>
          <w:rFonts w:ascii="Times New Roman" w:hAnsi="Times New Roman"/>
          <w:sz w:val="28"/>
          <w:szCs w:val="28"/>
        </w:rPr>
        <w:lastRenderedPageBreak/>
        <w:t>İş üzrə hakim K.Şəfiyevin məruzəsini, maraqlı subyektlərin nümayəndələrinin</w:t>
      </w:r>
      <w:r w:rsidR="00DF7506" w:rsidRPr="0072162B">
        <w:rPr>
          <w:rFonts w:ascii="Times New Roman" w:hAnsi="Times New Roman"/>
          <w:sz w:val="28"/>
          <w:szCs w:val="28"/>
        </w:rPr>
        <w:t xml:space="preserve"> və mütəxəssislərin çıxışlarını</w:t>
      </w:r>
      <w:r w:rsidRPr="0072162B">
        <w:rPr>
          <w:rFonts w:ascii="Times New Roman" w:hAnsi="Times New Roman"/>
          <w:sz w:val="28"/>
          <w:szCs w:val="28"/>
        </w:rPr>
        <w:t>, ekspertin rəyini dinləyib, iş materiallarını araşdırıb müzakirə edərək, Azərbaycan  Respublikası Konstitusiya Məhkəməsinin Plenumu</w:t>
      </w:r>
    </w:p>
    <w:p w:rsidR="00431CF3" w:rsidRPr="0072162B" w:rsidRDefault="00431CF3" w:rsidP="0072162B">
      <w:pPr>
        <w:spacing w:after="0"/>
        <w:ind w:firstLine="567"/>
        <w:jc w:val="both"/>
        <w:rPr>
          <w:rFonts w:ascii="Times New Roman" w:hAnsi="Times New Roman"/>
          <w:sz w:val="28"/>
          <w:szCs w:val="28"/>
        </w:rPr>
      </w:pPr>
    </w:p>
    <w:p w:rsidR="0072162B" w:rsidRPr="0072162B" w:rsidRDefault="00387E45" w:rsidP="0072162B">
      <w:pPr>
        <w:spacing w:after="0"/>
        <w:jc w:val="center"/>
        <w:rPr>
          <w:rFonts w:ascii="Times New Roman" w:hAnsi="Times New Roman"/>
          <w:b/>
          <w:sz w:val="28"/>
          <w:szCs w:val="28"/>
        </w:rPr>
      </w:pPr>
      <w:r w:rsidRPr="0072162B">
        <w:rPr>
          <w:rFonts w:ascii="Times New Roman" w:hAnsi="Times New Roman"/>
          <w:b/>
          <w:sz w:val="28"/>
          <w:szCs w:val="28"/>
        </w:rPr>
        <w:t xml:space="preserve">MÜƏYYƏN </w:t>
      </w:r>
      <w:r w:rsidR="00FB0412" w:rsidRPr="0072162B">
        <w:rPr>
          <w:rFonts w:ascii="Times New Roman" w:hAnsi="Times New Roman"/>
          <w:b/>
          <w:sz w:val="28"/>
          <w:szCs w:val="28"/>
        </w:rPr>
        <w:t xml:space="preserve"> </w:t>
      </w:r>
      <w:r w:rsidRPr="0072162B">
        <w:rPr>
          <w:rFonts w:ascii="Times New Roman" w:hAnsi="Times New Roman"/>
          <w:b/>
          <w:sz w:val="28"/>
          <w:szCs w:val="28"/>
        </w:rPr>
        <w:t>ETDİ:</w:t>
      </w:r>
    </w:p>
    <w:p w:rsidR="00387E45" w:rsidRPr="0072162B" w:rsidRDefault="0072162B"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 </w:t>
      </w:r>
    </w:p>
    <w:p w:rsidR="00FB0412" w:rsidRPr="0072162B" w:rsidRDefault="006E676B"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Azərbaycan Respublikasının Nazirlər Kabineti Azərbaycan Respublikasının  Konstitusiya  Məhkəməsinə (bundan sonra </w:t>
      </w:r>
      <w:r w:rsidR="00B528FE" w:rsidRPr="0072162B">
        <w:rPr>
          <w:rFonts w:ascii="Times New Roman" w:hAnsi="Times New Roman"/>
          <w:sz w:val="28"/>
          <w:szCs w:val="28"/>
        </w:rPr>
        <w:t>–</w:t>
      </w:r>
      <w:r w:rsidRPr="0072162B">
        <w:rPr>
          <w:rFonts w:ascii="Times New Roman" w:hAnsi="Times New Roman"/>
          <w:sz w:val="28"/>
          <w:szCs w:val="28"/>
        </w:rPr>
        <w:t xml:space="preserve"> Konstitusiya  Məhkəməsi) sorğu ilə müraciət edərək təshih tədbirinin tətbiqindən sonra əmanətlərin şərtlərinin dəyişdirilməsi </w:t>
      </w:r>
      <w:r w:rsidR="00DC3BDA" w:rsidRPr="0072162B">
        <w:rPr>
          <w:rFonts w:ascii="Times New Roman" w:hAnsi="Times New Roman"/>
          <w:sz w:val="28"/>
          <w:szCs w:val="28"/>
        </w:rPr>
        <w:t xml:space="preserve">(faiz dərəcəsinin aşağı salınması) </w:t>
      </w:r>
      <w:r w:rsidRPr="0072162B">
        <w:rPr>
          <w:rFonts w:ascii="Times New Roman" w:hAnsi="Times New Roman"/>
          <w:sz w:val="28"/>
          <w:szCs w:val="28"/>
        </w:rPr>
        <w:t>yolu ilə qorunan əmanət (depozit) statusuna ai</w:t>
      </w:r>
      <w:r w:rsidR="00B528FE" w:rsidRPr="0072162B">
        <w:rPr>
          <w:rFonts w:ascii="Times New Roman" w:hAnsi="Times New Roman"/>
          <w:sz w:val="28"/>
          <w:szCs w:val="28"/>
        </w:rPr>
        <w:t>d edilmiş əmanətlərin, həmçinin</w:t>
      </w:r>
      <w:r w:rsidRPr="0072162B">
        <w:rPr>
          <w:rFonts w:ascii="Times New Roman" w:hAnsi="Times New Roman"/>
          <w:sz w:val="28"/>
          <w:szCs w:val="28"/>
        </w:rPr>
        <w:t xml:space="preserve"> illik </w:t>
      </w:r>
      <w:r w:rsidR="00B528FE" w:rsidRPr="0072162B">
        <w:rPr>
          <w:rFonts w:ascii="Times New Roman" w:hAnsi="Times New Roman"/>
          <w:sz w:val="28"/>
          <w:szCs w:val="28"/>
        </w:rPr>
        <w:t>faiz dərəcəsinə əlavə bonuslar</w:t>
      </w:r>
      <w:r w:rsidRPr="0072162B">
        <w:rPr>
          <w:rFonts w:ascii="Times New Roman" w:hAnsi="Times New Roman"/>
          <w:sz w:val="28"/>
          <w:szCs w:val="28"/>
        </w:rPr>
        <w:t xml:space="preserve"> tətb</w:t>
      </w:r>
      <w:r w:rsidR="00B528FE" w:rsidRPr="0072162B">
        <w:rPr>
          <w:rFonts w:ascii="Times New Roman" w:hAnsi="Times New Roman"/>
          <w:sz w:val="28"/>
          <w:szCs w:val="28"/>
        </w:rPr>
        <w:t>iq olunmuş</w:t>
      </w:r>
      <w:r w:rsidRPr="0072162B">
        <w:rPr>
          <w:rFonts w:ascii="Times New Roman" w:hAnsi="Times New Roman"/>
          <w:sz w:val="28"/>
          <w:szCs w:val="28"/>
        </w:rPr>
        <w:t xml:space="preserve"> əmanətlərin qorunan əmanət hesab edilib-edilməməsi baxımından “Əmanətlərin sığortalanması haqqında” Azərbaycan Respublikası Qanununun (bundan sonra </w:t>
      </w:r>
      <w:r w:rsidR="00B528FE" w:rsidRPr="0072162B">
        <w:rPr>
          <w:rFonts w:ascii="Times New Roman" w:hAnsi="Times New Roman"/>
          <w:sz w:val="28"/>
          <w:szCs w:val="28"/>
        </w:rPr>
        <w:t xml:space="preserve">– </w:t>
      </w:r>
      <w:r w:rsidRPr="0072162B">
        <w:rPr>
          <w:rFonts w:ascii="Times New Roman" w:hAnsi="Times New Roman"/>
          <w:sz w:val="28"/>
          <w:szCs w:val="28"/>
        </w:rPr>
        <w:t>“Əmanətlərin sığortalanması haqqında” Qanun) 2.1.2.6-cı maddəsinin şərh  edilməsini xahiş etmişdir.</w:t>
      </w:r>
    </w:p>
    <w:p w:rsidR="00FB0412" w:rsidRPr="0072162B" w:rsidRDefault="00BA077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Sorğuda göstərilir ki, </w:t>
      </w:r>
      <w:r w:rsidR="00BF3408" w:rsidRPr="0072162B">
        <w:rPr>
          <w:rFonts w:ascii="Times New Roman" w:hAnsi="Times New Roman"/>
          <w:sz w:val="28"/>
          <w:szCs w:val="28"/>
        </w:rPr>
        <w:t>Azərbayca</w:t>
      </w:r>
      <w:r w:rsidR="00A4772E" w:rsidRPr="0072162B">
        <w:rPr>
          <w:rFonts w:ascii="Times New Roman" w:hAnsi="Times New Roman"/>
          <w:sz w:val="28"/>
          <w:szCs w:val="28"/>
        </w:rPr>
        <w:t>n Respublikası</w:t>
      </w:r>
      <w:r w:rsidR="00BF3408" w:rsidRPr="0072162B">
        <w:rPr>
          <w:rFonts w:ascii="Times New Roman" w:hAnsi="Times New Roman"/>
          <w:sz w:val="28"/>
          <w:szCs w:val="28"/>
        </w:rPr>
        <w:t xml:space="preserve"> Maliyyə Bazarlarına Nəzarət Palatasının</w:t>
      </w:r>
      <w:r w:rsidR="009C2FD6" w:rsidRPr="0072162B">
        <w:rPr>
          <w:rFonts w:ascii="Times New Roman" w:hAnsi="Times New Roman"/>
          <w:sz w:val="28"/>
          <w:szCs w:val="28"/>
        </w:rPr>
        <w:t xml:space="preserve"> (bundan sonra </w:t>
      </w:r>
      <w:r w:rsidR="00B528FE" w:rsidRPr="0072162B">
        <w:rPr>
          <w:rFonts w:ascii="Times New Roman" w:hAnsi="Times New Roman"/>
          <w:sz w:val="28"/>
          <w:szCs w:val="28"/>
        </w:rPr>
        <w:t>–</w:t>
      </w:r>
      <w:r w:rsidR="00051400" w:rsidRPr="0072162B">
        <w:rPr>
          <w:rFonts w:ascii="Times New Roman" w:hAnsi="Times New Roman"/>
          <w:sz w:val="28"/>
          <w:szCs w:val="28"/>
        </w:rPr>
        <w:t xml:space="preserve"> </w:t>
      </w:r>
      <w:r w:rsidR="009C2FD6" w:rsidRPr="0072162B">
        <w:rPr>
          <w:rFonts w:ascii="Times New Roman" w:hAnsi="Times New Roman"/>
          <w:sz w:val="28"/>
          <w:szCs w:val="28"/>
        </w:rPr>
        <w:t>Maliyyə Bazarlarına Nəzarət Palatası)</w:t>
      </w:r>
      <w:r w:rsidR="00BF3408" w:rsidRPr="0072162B">
        <w:rPr>
          <w:rFonts w:ascii="Times New Roman" w:hAnsi="Times New Roman"/>
          <w:sz w:val="28"/>
          <w:szCs w:val="28"/>
        </w:rPr>
        <w:t xml:space="preserve"> Direktorlar Şurasının 2017-ci il 22 dekabr tarixli qərarı ilə "Dəmir Bank" Açıq Səhmdar Cəmiyyə</w:t>
      </w:r>
      <w:r w:rsidR="00C24BE4" w:rsidRPr="0072162B">
        <w:rPr>
          <w:rFonts w:ascii="Times New Roman" w:hAnsi="Times New Roman"/>
          <w:sz w:val="28"/>
          <w:szCs w:val="28"/>
        </w:rPr>
        <w:t>tinə</w:t>
      </w:r>
      <w:r w:rsidR="00B528FE" w:rsidRPr="0072162B">
        <w:rPr>
          <w:rFonts w:ascii="Times New Roman" w:hAnsi="Times New Roman"/>
          <w:sz w:val="28"/>
          <w:szCs w:val="28"/>
        </w:rPr>
        <w:t xml:space="preserve"> (bundan sonra – “Dəmir Bank” ASC)</w:t>
      </w:r>
      <w:r w:rsidR="00BF3408" w:rsidRPr="0072162B">
        <w:rPr>
          <w:rFonts w:ascii="Times New Roman" w:hAnsi="Times New Roman"/>
          <w:sz w:val="28"/>
          <w:szCs w:val="28"/>
        </w:rPr>
        <w:t xml:space="preserve"> bank fəaliyyətinin həyata keçirilməsi üçün verilmiş 1992-ci il 23 fevral tarixli lisenziya ləğv edilmişdir. </w:t>
      </w:r>
      <w:r w:rsidR="004A2011" w:rsidRPr="0072162B">
        <w:rPr>
          <w:rFonts w:ascii="Times New Roman" w:hAnsi="Times New Roman"/>
          <w:sz w:val="28"/>
          <w:szCs w:val="28"/>
        </w:rPr>
        <w:t>Həmçinin</w:t>
      </w:r>
      <w:r w:rsidR="00BF3408" w:rsidRPr="0072162B">
        <w:rPr>
          <w:rFonts w:ascii="Times New Roman" w:hAnsi="Times New Roman"/>
          <w:sz w:val="28"/>
          <w:szCs w:val="28"/>
        </w:rPr>
        <w:t xml:space="preserve"> Maliyyə Bazarlarına Nəzarət Palatası</w:t>
      </w:r>
      <w:r w:rsidR="00522375" w:rsidRPr="0072162B">
        <w:rPr>
          <w:rFonts w:ascii="Times New Roman" w:hAnsi="Times New Roman"/>
          <w:sz w:val="28"/>
          <w:szCs w:val="28"/>
        </w:rPr>
        <w:t xml:space="preserve">nın müraciəti </w:t>
      </w:r>
      <w:r w:rsidR="008A41D2" w:rsidRPr="0072162B">
        <w:rPr>
          <w:rFonts w:ascii="Times New Roman" w:hAnsi="Times New Roman"/>
          <w:sz w:val="28"/>
          <w:szCs w:val="28"/>
        </w:rPr>
        <w:t xml:space="preserve">əsasında </w:t>
      </w:r>
      <w:r w:rsidR="00BF3408" w:rsidRPr="0072162B">
        <w:rPr>
          <w:rFonts w:ascii="Times New Roman" w:hAnsi="Times New Roman"/>
          <w:sz w:val="28"/>
          <w:szCs w:val="28"/>
        </w:rPr>
        <w:t>Bakı Apellyasiya Məhkəməsinin 2017-ci il 27 dekabr tarixli qərarı ilə "Dəmir Bank" A</w:t>
      </w:r>
      <w:r w:rsidR="00F74701" w:rsidRPr="0072162B">
        <w:rPr>
          <w:rFonts w:ascii="Times New Roman" w:hAnsi="Times New Roman"/>
          <w:sz w:val="28"/>
          <w:szCs w:val="28"/>
        </w:rPr>
        <w:t>SC</w:t>
      </w:r>
      <w:r w:rsidR="00522375" w:rsidRPr="0072162B">
        <w:rPr>
          <w:rFonts w:ascii="Times New Roman" w:hAnsi="Times New Roman"/>
          <w:sz w:val="28"/>
          <w:szCs w:val="28"/>
        </w:rPr>
        <w:t xml:space="preserve"> müflis elan edilmiş və </w:t>
      </w:r>
      <w:r w:rsidR="00BF3408" w:rsidRPr="0072162B">
        <w:rPr>
          <w:rFonts w:ascii="Times New Roman" w:hAnsi="Times New Roman"/>
          <w:sz w:val="28"/>
          <w:szCs w:val="28"/>
        </w:rPr>
        <w:t>Əmanətlərin Sığortalanması Fondu</w:t>
      </w:r>
      <w:r w:rsidR="00C24BE4" w:rsidRPr="0072162B">
        <w:rPr>
          <w:rFonts w:ascii="Times New Roman" w:hAnsi="Times New Roman"/>
          <w:sz w:val="28"/>
          <w:szCs w:val="28"/>
        </w:rPr>
        <w:t xml:space="preserve"> (bundan sonra – Fond)</w:t>
      </w:r>
      <w:r w:rsidR="00BF3408" w:rsidRPr="0072162B">
        <w:rPr>
          <w:rFonts w:ascii="Times New Roman" w:hAnsi="Times New Roman"/>
          <w:sz w:val="28"/>
          <w:szCs w:val="28"/>
        </w:rPr>
        <w:t xml:space="preserve"> banka ləğvedici təyin edilmişdir.</w:t>
      </w:r>
    </w:p>
    <w:p w:rsidR="00FB0412" w:rsidRPr="0072162B" w:rsidRDefault="00DA6DA0" w:rsidP="0072162B">
      <w:pPr>
        <w:spacing w:after="0"/>
        <w:ind w:firstLine="567"/>
        <w:jc w:val="both"/>
        <w:rPr>
          <w:rFonts w:ascii="Times New Roman" w:hAnsi="Times New Roman"/>
          <w:sz w:val="28"/>
          <w:szCs w:val="28"/>
        </w:rPr>
      </w:pPr>
      <w:r w:rsidRPr="0072162B">
        <w:rPr>
          <w:rFonts w:ascii="Times New Roman" w:hAnsi="Times New Roman"/>
          <w:sz w:val="28"/>
          <w:szCs w:val="28"/>
        </w:rPr>
        <w:t>Maliyyə Bazarlarına Nəzarət Palatas</w:t>
      </w:r>
      <w:r w:rsidR="00C24BE4" w:rsidRPr="0072162B">
        <w:rPr>
          <w:rFonts w:ascii="Times New Roman" w:hAnsi="Times New Roman"/>
          <w:sz w:val="28"/>
          <w:szCs w:val="28"/>
        </w:rPr>
        <w:t xml:space="preserve">ı </w:t>
      </w:r>
      <w:r w:rsidRPr="0072162B">
        <w:rPr>
          <w:rFonts w:ascii="Times New Roman" w:hAnsi="Times New Roman"/>
          <w:sz w:val="28"/>
          <w:szCs w:val="28"/>
        </w:rPr>
        <w:t>"Dəmir Bank" ASC-yə qarşı qorunan əmanətlərin hə</w:t>
      </w:r>
      <w:r w:rsidR="00563C46" w:rsidRPr="0072162B">
        <w:rPr>
          <w:rFonts w:ascii="Times New Roman" w:hAnsi="Times New Roman"/>
          <w:sz w:val="28"/>
          <w:szCs w:val="28"/>
        </w:rPr>
        <w:t>cminin artırılması</w:t>
      </w:r>
      <w:r w:rsidRPr="0072162B">
        <w:rPr>
          <w:rFonts w:ascii="Times New Roman" w:hAnsi="Times New Roman"/>
          <w:sz w:val="28"/>
          <w:szCs w:val="28"/>
        </w:rPr>
        <w:t>, habelə mövcud əmanətlərin (depozitlərin) şərtlərinin dəyişdirilməsi yolu ilə qorunan əmanət (depozit) statusuna aid edilməsinə dair əməliyyatların həyata keçirilməsi və ya əqdlərin bağlanmasının dayandırılması barədə təshih tə</w:t>
      </w:r>
      <w:r w:rsidR="00E33869" w:rsidRPr="0072162B">
        <w:rPr>
          <w:rFonts w:ascii="Times New Roman" w:hAnsi="Times New Roman"/>
          <w:sz w:val="28"/>
          <w:szCs w:val="28"/>
        </w:rPr>
        <w:t>dbirləri</w:t>
      </w:r>
      <w:r w:rsidRPr="0072162B">
        <w:rPr>
          <w:rFonts w:ascii="Times New Roman" w:hAnsi="Times New Roman"/>
          <w:sz w:val="28"/>
          <w:szCs w:val="28"/>
        </w:rPr>
        <w:t xml:space="preserve"> tətbiq etmiş</w:t>
      </w:r>
      <w:r w:rsidR="00E33869" w:rsidRPr="0072162B">
        <w:rPr>
          <w:rFonts w:ascii="Times New Roman" w:hAnsi="Times New Roman"/>
          <w:sz w:val="28"/>
          <w:szCs w:val="28"/>
        </w:rPr>
        <w:t xml:space="preserve"> və bu barədə 2017-ci il </w:t>
      </w:r>
      <w:r w:rsidR="007D6B62" w:rsidRPr="0072162B">
        <w:rPr>
          <w:rFonts w:ascii="Times New Roman" w:hAnsi="Times New Roman"/>
          <w:sz w:val="28"/>
          <w:szCs w:val="28"/>
        </w:rPr>
        <w:t xml:space="preserve">27 sentyabr </w:t>
      </w:r>
      <w:r w:rsidR="00E33869" w:rsidRPr="0072162B">
        <w:rPr>
          <w:rFonts w:ascii="Times New Roman" w:hAnsi="Times New Roman"/>
          <w:sz w:val="28"/>
          <w:szCs w:val="28"/>
        </w:rPr>
        <w:t>tarixli məktubla</w:t>
      </w:r>
      <w:r w:rsidRPr="0072162B">
        <w:rPr>
          <w:rFonts w:ascii="Times New Roman" w:hAnsi="Times New Roman"/>
          <w:sz w:val="28"/>
          <w:szCs w:val="28"/>
        </w:rPr>
        <w:t xml:space="preserve"> </w:t>
      </w:r>
      <w:r w:rsidR="00E33869" w:rsidRPr="0072162B">
        <w:rPr>
          <w:rFonts w:ascii="Times New Roman" w:hAnsi="Times New Roman"/>
          <w:sz w:val="28"/>
          <w:szCs w:val="28"/>
        </w:rPr>
        <w:t>banka,</w:t>
      </w:r>
      <w:r w:rsidR="008B7F82" w:rsidRPr="0072162B">
        <w:rPr>
          <w:rFonts w:ascii="Times New Roman" w:hAnsi="Times New Roman"/>
          <w:sz w:val="28"/>
          <w:szCs w:val="28"/>
        </w:rPr>
        <w:t xml:space="preserve"> həmçinin</w:t>
      </w:r>
      <w:r w:rsidR="00E33869" w:rsidRPr="0072162B">
        <w:rPr>
          <w:rFonts w:ascii="Times New Roman" w:hAnsi="Times New Roman"/>
          <w:sz w:val="28"/>
          <w:szCs w:val="28"/>
        </w:rPr>
        <w:t xml:space="preserve"> </w:t>
      </w:r>
      <w:r w:rsidRPr="0072162B">
        <w:rPr>
          <w:rFonts w:ascii="Times New Roman" w:hAnsi="Times New Roman"/>
          <w:sz w:val="28"/>
          <w:szCs w:val="28"/>
        </w:rPr>
        <w:t xml:space="preserve">“Əmanətlərin sığortalanması haqqında” Qanunun 21.4.4-cü maddəsinə əsasən </w:t>
      </w:r>
      <w:r w:rsidR="007D6B62" w:rsidRPr="0072162B">
        <w:rPr>
          <w:rFonts w:ascii="Times New Roman" w:hAnsi="Times New Roman"/>
          <w:sz w:val="28"/>
          <w:szCs w:val="28"/>
        </w:rPr>
        <w:t xml:space="preserve">2017-ci il </w:t>
      </w:r>
      <w:r w:rsidRPr="0072162B">
        <w:rPr>
          <w:rFonts w:ascii="Times New Roman" w:hAnsi="Times New Roman"/>
          <w:sz w:val="28"/>
          <w:szCs w:val="28"/>
        </w:rPr>
        <w:t>19 okty</w:t>
      </w:r>
      <w:r w:rsidR="00E33869" w:rsidRPr="0072162B">
        <w:rPr>
          <w:rFonts w:ascii="Times New Roman" w:hAnsi="Times New Roman"/>
          <w:sz w:val="28"/>
          <w:szCs w:val="28"/>
        </w:rPr>
        <w:t>a</w:t>
      </w:r>
      <w:r w:rsidR="007D6B62" w:rsidRPr="0072162B">
        <w:rPr>
          <w:rFonts w:ascii="Times New Roman" w:hAnsi="Times New Roman"/>
          <w:sz w:val="28"/>
          <w:szCs w:val="28"/>
        </w:rPr>
        <w:t>b</w:t>
      </w:r>
      <w:r w:rsidRPr="0072162B">
        <w:rPr>
          <w:rFonts w:ascii="Times New Roman" w:hAnsi="Times New Roman"/>
          <w:sz w:val="28"/>
          <w:szCs w:val="28"/>
        </w:rPr>
        <w:t>r tarixli məktubla Fon</w:t>
      </w:r>
      <w:r w:rsidR="00E33869" w:rsidRPr="0072162B">
        <w:rPr>
          <w:rFonts w:ascii="Times New Roman" w:hAnsi="Times New Roman"/>
          <w:sz w:val="28"/>
          <w:szCs w:val="28"/>
        </w:rPr>
        <w:t>d</w:t>
      </w:r>
      <w:r w:rsidRPr="0072162B">
        <w:rPr>
          <w:rFonts w:ascii="Times New Roman" w:hAnsi="Times New Roman"/>
          <w:sz w:val="28"/>
          <w:szCs w:val="28"/>
        </w:rPr>
        <w:t>a məlumat vermişdir.</w:t>
      </w:r>
    </w:p>
    <w:p w:rsidR="00FB0412" w:rsidRPr="0072162B" w:rsidRDefault="0042553A" w:rsidP="0072162B">
      <w:pPr>
        <w:spacing w:after="0"/>
        <w:ind w:firstLine="567"/>
        <w:jc w:val="both"/>
        <w:rPr>
          <w:rFonts w:ascii="Times New Roman" w:hAnsi="Times New Roman"/>
          <w:sz w:val="28"/>
          <w:szCs w:val="28"/>
        </w:rPr>
      </w:pPr>
      <w:r w:rsidRPr="0072162B">
        <w:rPr>
          <w:rFonts w:ascii="Times New Roman" w:hAnsi="Times New Roman"/>
          <w:sz w:val="28"/>
          <w:szCs w:val="28"/>
        </w:rPr>
        <w:t>Q</w:t>
      </w:r>
      <w:r w:rsidR="00DA6DA0" w:rsidRPr="0072162B">
        <w:rPr>
          <w:rFonts w:ascii="Times New Roman" w:hAnsi="Times New Roman"/>
          <w:sz w:val="28"/>
          <w:szCs w:val="28"/>
        </w:rPr>
        <w:t>eyd olunan təshih tə</w:t>
      </w:r>
      <w:r w:rsidR="00563C46" w:rsidRPr="0072162B">
        <w:rPr>
          <w:rFonts w:ascii="Times New Roman" w:hAnsi="Times New Roman"/>
          <w:sz w:val="28"/>
          <w:szCs w:val="28"/>
        </w:rPr>
        <w:t>dbirlərinin</w:t>
      </w:r>
      <w:r w:rsidR="00DA6DA0" w:rsidRPr="0072162B">
        <w:rPr>
          <w:rFonts w:ascii="Times New Roman" w:hAnsi="Times New Roman"/>
          <w:sz w:val="28"/>
          <w:szCs w:val="28"/>
        </w:rPr>
        <w:t xml:space="preserve"> tətbiq olunmasına baxmayaraq, </w:t>
      </w:r>
      <w:r w:rsidR="006644D0" w:rsidRPr="0072162B">
        <w:rPr>
          <w:rFonts w:ascii="Times New Roman" w:hAnsi="Times New Roman"/>
          <w:sz w:val="28"/>
          <w:szCs w:val="28"/>
        </w:rPr>
        <w:t>“Dəmir Bank”</w:t>
      </w:r>
      <w:r w:rsidR="00563C46" w:rsidRPr="0072162B">
        <w:rPr>
          <w:rFonts w:ascii="Times New Roman" w:hAnsi="Times New Roman"/>
          <w:sz w:val="28"/>
          <w:szCs w:val="28"/>
        </w:rPr>
        <w:t xml:space="preserve"> ASC</w:t>
      </w:r>
      <w:r w:rsidR="006644D0" w:rsidRPr="0072162B">
        <w:rPr>
          <w:rFonts w:ascii="Times New Roman" w:hAnsi="Times New Roman"/>
          <w:sz w:val="28"/>
          <w:szCs w:val="28"/>
        </w:rPr>
        <w:t xml:space="preserve"> </w:t>
      </w:r>
      <w:r w:rsidR="00DA6DA0" w:rsidRPr="0072162B">
        <w:rPr>
          <w:rFonts w:ascii="Times New Roman" w:hAnsi="Times New Roman"/>
          <w:sz w:val="28"/>
          <w:szCs w:val="28"/>
        </w:rPr>
        <w:t xml:space="preserve"> tərəfindən əmanətlərin (depozitlərin) şərtləri əmanət müqavilələrinə əlavə sazişlər bağlanılması yolu ilə  dəyişdirilərək faiz dərəcələri aşağı salınmış və bununla da qorunmayan əmanət</w:t>
      </w:r>
      <w:r w:rsidR="003B7533" w:rsidRPr="0072162B">
        <w:rPr>
          <w:rFonts w:ascii="Times New Roman" w:hAnsi="Times New Roman"/>
          <w:sz w:val="28"/>
          <w:szCs w:val="28"/>
        </w:rPr>
        <w:t>lər</w:t>
      </w:r>
      <w:r w:rsidR="00DA6DA0" w:rsidRPr="0072162B">
        <w:rPr>
          <w:rFonts w:ascii="Times New Roman" w:hAnsi="Times New Roman"/>
          <w:sz w:val="28"/>
          <w:szCs w:val="28"/>
        </w:rPr>
        <w:t xml:space="preserve"> qorunan əmanət</w:t>
      </w:r>
      <w:r w:rsidR="003B7533" w:rsidRPr="0072162B">
        <w:rPr>
          <w:rFonts w:ascii="Times New Roman" w:hAnsi="Times New Roman"/>
          <w:sz w:val="28"/>
          <w:szCs w:val="28"/>
        </w:rPr>
        <w:t>lər</w:t>
      </w:r>
      <w:r w:rsidR="00DA6DA0" w:rsidRPr="0072162B">
        <w:rPr>
          <w:rFonts w:ascii="Times New Roman" w:hAnsi="Times New Roman"/>
          <w:sz w:val="28"/>
          <w:szCs w:val="28"/>
        </w:rPr>
        <w:t xml:space="preserve"> statusuna aid edilmişdir.</w:t>
      </w:r>
    </w:p>
    <w:p w:rsidR="00FB0412" w:rsidRPr="0072162B" w:rsidRDefault="009C2FD6" w:rsidP="0072162B">
      <w:pPr>
        <w:spacing w:after="0"/>
        <w:ind w:firstLine="567"/>
        <w:jc w:val="both"/>
        <w:rPr>
          <w:rFonts w:ascii="Times New Roman" w:hAnsi="Times New Roman"/>
          <w:sz w:val="28"/>
          <w:szCs w:val="28"/>
        </w:rPr>
      </w:pPr>
      <w:r w:rsidRPr="0072162B">
        <w:rPr>
          <w:rFonts w:ascii="Times New Roman" w:hAnsi="Times New Roman"/>
          <w:sz w:val="28"/>
          <w:szCs w:val="28"/>
        </w:rPr>
        <w:t>Sorğuverən həmçinin qeyd edir ki,</w:t>
      </w:r>
      <w:r w:rsidR="0093516F" w:rsidRPr="0072162B">
        <w:rPr>
          <w:rFonts w:ascii="Times New Roman" w:hAnsi="Times New Roman"/>
          <w:sz w:val="28"/>
          <w:szCs w:val="28"/>
        </w:rPr>
        <w:t xml:space="preserve"> “Dəmir Bank” ASC bankın əmanət məhsulu olan “Yığım” və “Göy” əmanət məhsulları üzrə əmanət müqavilələri</w:t>
      </w:r>
      <w:r w:rsidR="00563C46" w:rsidRPr="0072162B">
        <w:rPr>
          <w:rFonts w:ascii="Times New Roman" w:hAnsi="Times New Roman"/>
          <w:sz w:val="28"/>
          <w:szCs w:val="28"/>
        </w:rPr>
        <w:t>nə</w:t>
      </w:r>
      <w:r w:rsidR="0093516F" w:rsidRPr="0072162B">
        <w:rPr>
          <w:rFonts w:ascii="Times New Roman" w:hAnsi="Times New Roman"/>
          <w:sz w:val="28"/>
          <w:szCs w:val="28"/>
        </w:rPr>
        <w:t xml:space="preserve"> </w:t>
      </w:r>
      <w:r w:rsidR="003B7533" w:rsidRPr="0072162B">
        <w:rPr>
          <w:rFonts w:ascii="Times New Roman" w:hAnsi="Times New Roman"/>
          <w:sz w:val="28"/>
          <w:szCs w:val="28"/>
        </w:rPr>
        <w:t xml:space="preserve">əlavə </w:t>
      </w:r>
      <w:r w:rsidR="0093516F" w:rsidRPr="0072162B">
        <w:rPr>
          <w:rFonts w:ascii="Times New Roman" w:hAnsi="Times New Roman"/>
          <w:sz w:val="28"/>
          <w:szCs w:val="28"/>
        </w:rPr>
        <w:t xml:space="preserve">saziş imzalamaqla Fondun Himayəçilik Şurası tərəfindən qorunan əmanətlər üzrə müəyyən </w:t>
      </w:r>
      <w:r w:rsidR="0093516F" w:rsidRPr="0072162B">
        <w:rPr>
          <w:rFonts w:ascii="Times New Roman" w:hAnsi="Times New Roman"/>
          <w:sz w:val="28"/>
          <w:szCs w:val="28"/>
        </w:rPr>
        <w:lastRenderedPageBreak/>
        <w:t>edilən illik faiz dərəcəsinin yuxarı həddi olan (milli valyutada illik 15 faiz, xarici valyutada illik 3 faiz)  əmanət faizlərindən başqa əmanətçilərə bonus (+2 faiz) verilməsi öhdəliyi götürmüşdür.</w:t>
      </w:r>
    </w:p>
    <w:p w:rsidR="00FB0412" w:rsidRPr="0072162B" w:rsidRDefault="00FB05ED" w:rsidP="0072162B">
      <w:pPr>
        <w:spacing w:after="0"/>
        <w:ind w:firstLine="567"/>
        <w:jc w:val="both"/>
        <w:rPr>
          <w:rFonts w:ascii="Times New Roman" w:hAnsi="Times New Roman"/>
          <w:sz w:val="28"/>
          <w:szCs w:val="28"/>
        </w:rPr>
      </w:pPr>
      <w:r w:rsidRPr="0072162B">
        <w:rPr>
          <w:rFonts w:ascii="Times New Roman" w:hAnsi="Times New Roman"/>
          <w:sz w:val="28"/>
          <w:szCs w:val="28"/>
        </w:rPr>
        <w:t>Sorğuverən hesab edir ki,</w:t>
      </w:r>
      <w:r w:rsidR="00BD2F5F" w:rsidRPr="0072162B">
        <w:rPr>
          <w:rFonts w:ascii="Times New Roman" w:hAnsi="Times New Roman"/>
          <w:sz w:val="28"/>
          <w:szCs w:val="28"/>
        </w:rPr>
        <w:t xml:space="preserve"> yuxarıda qeyd </w:t>
      </w:r>
      <w:r w:rsidR="00C9334F" w:rsidRPr="0072162B">
        <w:rPr>
          <w:rFonts w:ascii="Times New Roman" w:hAnsi="Times New Roman"/>
          <w:sz w:val="28"/>
          <w:szCs w:val="28"/>
        </w:rPr>
        <w:t xml:space="preserve">olunan </w:t>
      </w:r>
      <w:r w:rsidR="00BD2F5F" w:rsidRPr="0072162B">
        <w:rPr>
          <w:rFonts w:ascii="Times New Roman" w:hAnsi="Times New Roman"/>
          <w:sz w:val="28"/>
          <w:szCs w:val="28"/>
        </w:rPr>
        <w:t xml:space="preserve">əmanətlərin  qorunan əmanət hesab edilib-edilməməsi ilə bağlı təcrübədə yaranan ziddiyyətlərin aradan qaldırılması məqsədi </w:t>
      </w:r>
      <w:r w:rsidR="00AA282B" w:rsidRPr="0072162B">
        <w:rPr>
          <w:rFonts w:ascii="Times New Roman" w:hAnsi="Times New Roman"/>
          <w:sz w:val="28"/>
          <w:szCs w:val="28"/>
        </w:rPr>
        <w:t xml:space="preserve">ilə </w:t>
      </w:r>
      <w:r w:rsidR="00BD2F5F" w:rsidRPr="0072162B">
        <w:rPr>
          <w:rFonts w:ascii="Times New Roman" w:hAnsi="Times New Roman"/>
          <w:sz w:val="28"/>
          <w:szCs w:val="28"/>
        </w:rPr>
        <w:t xml:space="preserve">“Əmanətlərin sığortalanması haqqında” </w:t>
      </w:r>
      <w:r w:rsidR="00AA282B" w:rsidRPr="0072162B">
        <w:rPr>
          <w:rFonts w:ascii="Times New Roman" w:hAnsi="Times New Roman"/>
          <w:sz w:val="28"/>
          <w:szCs w:val="28"/>
        </w:rPr>
        <w:t>Qanunun</w:t>
      </w:r>
      <w:r w:rsidR="00BD2F5F" w:rsidRPr="0072162B">
        <w:rPr>
          <w:rFonts w:ascii="Times New Roman" w:hAnsi="Times New Roman"/>
          <w:sz w:val="28"/>
          <w:szCs w:val="28"/>
        </w:rPr>
        <w:t xml:space="preserve"> 2.1.2.6-cı maddəsinin şərh edi</w:t>
      </w:r>
      <w:r w:rsidR="007D6B62" w:rsidRPr="0072162B">
        <w:rPr>
          <w:rFonts w:ascii="Times New Roman" w:hAnsi="Times New Roman"/>
          <w:sz w:val="28"/>
          <w:szCs w:val="28"/>
        </w:rPr>
        <w:t>l</w:t>
      </w:r>
      <w:r w:rsidR="00BD2F5F" w:rsidRPr="0072162B">
        <w:rPr>
          <w:rFonts w:ascii="Times New Roman" w:hAnsi="Times New Roman"/>
          <w:sz w:val="28"/>
          <w:szCs w:val="28"/>
        </w:rPr>
        <w:t>məsi</w:t>
      </w:r>
      <w:r w:rsidR="00AA282B" w:rsidRPr="0072162B">
        <w:rPr>
          <w:rFonts w:ascii="Times New Roman" w:hAnsi="Times New Roman"/>
          <w:sz w:val="28"/>
          <w:szCs w:val="28"/>
        </w:rPr>
        <w:t>nə</w:t>
      </w:r>
      <w:r w:rsidR="00BD2F5F" w:rsidRPr="0072162B">
        <w:rPr>
          <w:rFonts w:ascii="Times New Roman" w:hAnsi="Times New Roman"/>
          <w:sz w:val="28"/>
          <w:szCs w:val="28"/>
        </w:rPr>
        <w:t xml:space="preserve"> zərurət yaranmışdır.</w:t>
      </w:r>
    </w:p>
    <w:p w:rsidR="00FB0412" w:rsidRPr="0072162B" w:rsidRDefault="001C47E9" w:rsidP="0072162B">
      <w:pPr>
        <w:spacing w:after="0"/>
        <w:ind w:firstLine="567"/>
        <w:jc w:val="both"/>
        <w:rPr>
          <w:rFonts w:ascii="Times New Roman" w:hAnsi="Times New Roman"/>
          <w:sz w:val="28"/>
          <w:szCs w:val="28"/>
        </w:rPr>
      </w:pPr>
      <w:r w:rsidRPr="0072162B">
        <w:rPr>
          <w:rFonts w:ascii="Times New Roman" w:hAnsi="Times New Roman"/>
          <w:sz w:val="28"/>
          <w:szCs w:val="28"/>
        </w:rPr>
        <w:t>Konstitusiya Məhkəməsinin Plenum</w:t>
      </w:r>
      <w:r w:rsidR="007B0854" w:rsidRPr="0072162B">
        <w:rPr>
          <w:rFonts w:ascii="Times New Roman" w:hAnsi="Times New Roman"/>
          <w:sz w:val="28"/>
          <w:szCs w:val="28"/>
        </w:rPr>
        <w:t>u sorğu ilə bağlı aşağıdakıları</w:t>
      </w:r>
      <w:r w:rsidRPr="0072162B">
        <w:rPr>
          <w:rFonts w:ascii="Times New Roman" w:hAnsi="Times New Roman"/>
          <w:sz w:val="28"/>
          <w:szCs w:val="28"/>
        </w:rPr>
        <w:t xml:space="preserve"> qeyd edi</w:t>
      </w:r>
      <w:r w:rsidR="007B0854" w:rsidRPr="0072162B">
        <w:rPr>
          <w:rFonts w:ascii="Times New Roman" w:hAnsi="Times New Roman"/>
          <w:sz w:val="28"/>
          <w:szCs w:val="28"/>
        </w:rPr>
        <w:t>r</w:t>
      </w:r>
      <w:r w:rsidRPr="0072162B">
        <w:rPr>
          <w:rFonts w:ascii="Times New Roman" w:hAnsi="Times New Roman"/>
          <w:sz w:val="28"/>
          <w:szCs w:val="28"/>
        </w:rPr>
        <w:t>.</w:t>
      </w:r>
    </w:p>
    <w:p w:rsidR="00FB0412" w:rsidRPr="0072162B" w:rsidRDefault="006E676B"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sisteminin yaradılmasının məqsədi banklar və xarici bankların yerli filialları ödəmə qabiliyyətini itirdikdə, fiziki şəxslərdən əmanətə qəbul olunmuş pul vəsaitinin itirilməsi riskinin qarşısını almaq, maliyyə və bank sisteminin sabitliyini və inkişafını təmin etməkdir.</w:t>
      </w:r>
    </w:p>
    <w:p w:rsidR="00FB0412" w:rsidRPr="0072162B" w:rsidRDefault="001D6422" w:rsidP="0072162B">
      <w:pPr>
        <w:spacing w:after="0"/>
        <w:ind w:firstLine="567"/>
        <w:jc w:val="both"/>
        <w:rPr>
          <w:rFonts w:ascii="Times New Roman" w:hAnsi="Times New Roman"/>
          <w:sz w:val="28"/>
          <w:szCs w:val="28"/>
        </w:rPr>
      </w:pPr>
      <w:r w:rsidRPr="0072162B">
        <w:rPr>
          <w:rFonts w:ascii="Times New Roman" w:hAnsi="Times New Roman"/>
          <w:sz w:val="28"/>
          <w:szCs w:val="28"/>
        </w:rPr>
        <w:t>Q</w:t>
      </w:r>
      <w:r w:rsidR="005D7007" w:rsidRPr="0072162B">
        <w:rPr>
          <w:rFonts w:ascii="Times New Roman" w:hAnsi="Times New Roman"/>
          <w:sz w:val="28"/>
          <w:szCs w:val="28"/>
        </w:rPr>
        <w:t xml:space="preserve">anunverici </w:t>
      </w:r>
      <w:r w:rsidR="00A52E63" w:rsidRPr="0072162B">
        <w:rPr>
          <w:rFonts w:ascii="Times New Roman" w:hAnsi="Times New Roman"/>
          <w:sz w:val="28"/>
          <w:szCs w:val="28"/>
        </w:rPr>
        <w:t>bank əmanət</w:t>
      </w:r>
      <w:r w:rsidR="00146F60" w:rsidRPr="0072162B">
        <w:rPr>
          <w:rFonts w:ascii="Times New Roman" w:hAnsi="Times New Roman"/>
          <w:sz w:val="28"/>
          <w:szCs w:val="28"/>
        </w:rPr>
        <w:t>lərin</w:t>
      </w:r>
      <w:r w:rsidR="0005276C" w:rsidRPr="0072162B">
        <w:rPr>
          <w:rFonts w:ascii="Times New Roman" w:hAnsi="Times New Roman"/>
          <w:sz w:val="28"/>
          <w:szCs w:val="28"/>
        </w:rPr>
        <w:t>in</w:t>
      </w:r>
      <w:r w:rsidR="00A52E63" w:rsidRPr="0072162B">
        <w:rPr>
          <w:rFonts w:ascii="Times New Roman" w:hAnsi="Times New Roman"/>
          <w:sz w:val="28"/>
          <w:szCs w:val="28"/>
        </w:rPr>
        <w:t xml:space="preserve"> qaytarılmasını təmin etmək məqsəd</w:t>
      </w:r>
      <w:r w:rsidR="007D6B62" w:rsidRPr="0072162B">
        <w:rPr>
          <w:rFonts w:ascii="Times New Roman" w:hAnsi="Times New Roman"/>
          <w:sz w:val="28"/>
          <w:szCs w:val="28"/>
        </w:rPr>
        <w:t xml:space="preserve">i </w:t>
      </w:r>
      <w:r w:rsidR="00A52E63" w:rsidRPr="0072162B">
        <w:rPr>
          <w:rFonts w:ascii="Times New Roman" w:hAnsi="Times New Roman"/>
          <w:sz w:val="28"/>
          <w:szCs w:val="28"/>
        </w:rPr>
        <w:t>ilə sığorta hadisəsi baş verdikdə əmanətlər üzrə kompensasiyanın ödənilməsini nəzərdə tutan “Əmanətlərin sığortalanması haqqında” 2006-cı il 29 dekabr tarixli Qanun qəbul e</w:t>
      </w:r>
      <w:r w:rsidR="00146F60" w:rsidRPr="0072162B">
        <w:rPr>
          <w:rFonts w:ascii="Times New Roman" w:hAnsi="Times New Roman"/>
          <w:sz w:val="28"/>
          <w:szCs w:val="28"/>
        </w:rPr>
        <w:t>tmişdir</w:t>
      </w:r>
      <w:r w:rsidR="00A52E63" w:rsidRPr="0072162B">
        <w:rPr>
          <w:rFonts w:ascii="Times New Roman" w:hAnsi="Times New Roman"/>
          <w:sz w:val="28"/>
          <w:szCs w:val="28"/>
        </w:rPr>
        <w:t>. Bununla yanaşı, Azərbaycan Respublikası Prezidentinin 2007-ci il 9 fevral tarixli Fərmanına əsasən Əmanətlərin Sığortalanması Fondu yaradılmışdır.</w:t>
      </w:r>
    </w:p>
    <w:p w:rsidR="00FB0412" w:rsidRPr="0072162B" w:rsidRDefault="00F50FC4"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Konstitusiya Məhkəməsi Plenumunun </w:t>
      </w:r>
      <w:r w:rsidR="00037CE6" w:rsidRPr="0072162B">
        <w:rPr>
          <w:rFonts w:ascii="Times New Roman" w:hAnsi="Times New Roman"/>
          <w:sz w:val="28"/>
          <w:szCs w:val="28"/>
        </w:rPr>
        <w:t xml:space="preserve">“Əmanətlərin sığortalanması haqqında” </w:t>
      </w:r>
      <w:r w:rsidRPr="0072162B">
        <w:rPr>
          <w:rFonts w:ascii="Times New Roman" w:hAnsi="Times New Roman"/>
          <w:sz w:val="28"/>
          <w:szCs w:val="28"/>
        </w:rPr>
        <w:t xml:space="preserve">Azərbaycan Respublikası </w:t>
      </w:r>
      <w:r w:rsidR="00146F60" w:rsidRPr="0072162B">
        <w:rPr>
          <w:rFonts w:ascii="Times New Roman" w:hAnsi="Times New Roman"/>
          <w:sz w:val="28"/>
          <w:szCs w:val="28"/>
        </w:rPr>
        <w:t>Qanunun</w:t>
      </w:r>
      <w:r w:rsidRPr="0072162B">
        <w:rPr>
          <w:rFonts w:ascii="Times New Roman" w:hAnsi="Times New Roman"/>
          <w:sz w:val="28"/>
          <w:szCs w:val="28"/>
        </w:rPr>
        <w:t>un</w:t>
      </w:r>
      <w:r w:rsidR="00037CE6" w:rsidRPr="0072162B">
        <w:rPr>
          <w:rFonts w:ascii="Times New Roman" w:hAnsi="Times New Roman"/>
          <w:sz w:val="28"/>
          <w:szCs w:val="28"/>
        </w:rPr>
        <w:t xml:space="preserve"> 27.3-cü maddəsinin Azərbaycan Respublikası Konstitusiyasının 13-cü maddəsinin I hissəsinə, 29-cu maddəsinin I, II və III hissələrinə, 149-cu maddəsinin I və III hissələrinə uyğunluğunun yoxlanılmasına dair</w:t>
      </w:r>
      <w:r w:rsidR="0005276C" w:rsidRPr="0072162B">
        <w:rPr>
          <w:rFonts w:ascii="Times New Roman" w:hAnsi="Times New Roman"/>
          <w:sz w:val="28"/>
          <w:szCs w:val="28"/>
        </w:rPr>
        <w:t>”</w:t>
      </w:r>
      <w:r w:rsidR="00037CE6" w:rsidRPr="0072162B">
        <w:rPr>
          <w:rFonts w:ascii="Times New Roman" w:hAnsi="Times New Roman"/>
          <w:sz w:val="28"/>
          <w:szCs w:val="28"/>
        </w:rPr>
        <w:t xml:space="preserve">  </w:t>
      </w:r>
      <w:r w:rsidR="00146F60" w:rsidRPr="0072162B">
        <w:rPr>
          <w:rFonts w:ascii="Times New Roman" w:hAnsi="Times New Roman"/>
          <w:sz w:val="28"/>
          <w:szCs w:val="28"/>
        </w:rPr>
        <w:t xml:space="preserve"> </w:t>
      </w:r>
      <w:r w:rsidR="0005276C" w:rsidRPr="0072162B">
        <w:rPr>
          <w:rFonts w:ascii="Times New Roman" w:hAnsi="Times New Roman"/>
          <w:sz w:val="28"/>
          <w:szCs w:val="28"/>
        </w:rPr>
        <w:t xml:space="preserve">2017-ci il </w:t>
      </w:r>
      <w:r w:rsidR="00037CE6" w:rsidRPr="0072162B">
        <w:rPr>
          <w:rFonts w:ascii="Times New Roman" w:hAnsi="Times New Roman"/>
          <w:sz w:val="28"/>
          <w:szCs w:val="28"/>
        </w:rPr>
        <w:t>6 iyul tarixli Qərarında göstərilmişdir ki,</w:t>
      </w:r>
      <w:r w:rsidR="00D46016" w:rsidRPr="0072162B">
        <w:rPr>
          <w:rFonts w:ascii="Times New Roman" w:hAnsi="Times New Roman"/>
          <w:sz w:val="28"/>
          <w:szCs w:val="28"/>
        </w:rPr>
        <w:t xml:space="preserve"> sığorta hadisəsi baş verdikdə Fond tərəfindən hər bir iştirakçı bankda sığortalanmış əmanət üzrə kompensasiyanın ödənilməsi heç də bank əmanətinin qaytarılması və ya Fondun bankın öhdəliyini öz üzərinə götürməsi anlamını verməməlidir. Fond tərəfindən kompensasiya əmanətçinin pul vəsaitini itirməsi riskinin qarşısını almaq məqsədi ilə yarana biləcək məhdudiyyətlərin əvəzi kimi ödənilir. Beləliklə, Fondun əsas məqsədi qoyulan əmanətlərin mülkiyyət kimi geri qaytarılması deyil, əmanətçilərin banklarda olan əmanətlərini sığortalamaqla onlara dəyə biləcək maddi və mənəvi ziyanı ən qısa müddətdə qanunvericiliklə müəyyən edilmiş qaydada kompensasiya etməklə ölkənin maliyyə və bank sisteminin inkişafına dəstək olmaqdır.</w:t>
      </w:r>
    </w:p>
    <w:p w:rsidR="00FB0412" w:rsidRPr="0072162B" w:rsidRDefault="00072DC3"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 Azərbaycan Respublikasında fəaliyyət göstərən banklarda fiziki şəxslərin əmanətlərinin kollektiv icbari sığortalanması sisteminin yaradılması və fəaliyyəti, o cümlədən əmanətlər üzrə kompensasiya ödənilməsi qaydalarını müəyyən edir.</w:t>
      </w:r>
    </w:p>
    <w:p w:rsidR="00FB0412" w:rsidRPr="0072162B" w:rsidRDefault="000157EC"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Qanunun 2.1.2.6-cı maddəsinə əsasən</w:t>
      </w:r>
      <w:r w:rsidR="0005276C" w:rsidRPr="0072162B">
        <w:rPr>
          <w:rFonts w:ascii="Times New Roman" w:hAnsi="Times New Roman"/>
          <w:sz w:val="28"/>
          <w:szCs w:val="28"/>
        </w:rPr>
        <w:t>,</w:t>
      </w:r>
      <w:r w:rsidRPr="0072162B">
        <w:rPr>
          <w:rFonts w:ascii="Times New Roman" w:hAnsi="Times New Roman"/>
          <w:sz w:val="28"/>
          <w:szCs w:val="28"/>
        </w:rPr>
        <w:t xml:space="preserve"> cəlb edildiyi günə bu Qanunun 8.1.20-ci maddəsinə uyğun olaraq müəyyən edilmiş həddən yuxarı illik faiz dərəcəsi ilə qəbul edilmiş əmanətlər qorunmayan əmanətlərə aid edilir.</w:t>
      </w:r>
    </w:p>
    <w:p w:rsidR="00FB0412" w:rsidRPr="0072162B" w:rsidRDefault="000157EC" w:rsidP="0072162B">
      <w:pPr>
        <w:spacing w:after="0"/>
        <w:ind w:firstLine="567"/>
        <w:jc w:val="both"/>
        <w:rPr>
          <w:rFonts w:ascii="Times New Roman" w:hAnsi="Times New Roman"/>
          <w:sz w:val="28"/>
          <w:szCs w:val="28"/>
        </w:rPr>
      </w:pPr>
      <w:r w:rsidRPr="0072162B">
        <w:rPr>
          <w:rFonts w:ascii="Times New Roman" w:hAnsi="Times New Roman"/>
          <w:sz w:val="28"/>
          <w:szCs w:val="28"/>
        </w:rPr>
        <w:lastRenderedPageBreak/>
        <w:t xml:space="preserve">Həmin Qanunun 8.1.20-ci maddəsinə </w:t>
      </w:r>
      <w:r w:rsidR="0005276C" w:rsidRPr="0072162B">
        <w:rPr>
          <w:rFonts w:ascii="Times New Roman" w:hAnsi="Times New Roman"/>
          <w:sz w:val="28"/>
          <w:szCs w:val="28"/>
        </w:rPr>
        <w:t>görə,</w:t>
      </w:r>
      <w:r w:rsidRPr="0072162B">
        <w:rPr>
          <w:rFonts w:ascii="Times New Roman" w:hAnsi="Times New Roman"/>
          <w:sz w:val="28"/>
          <w:szCs w:val="28"/>
        </w:rPr>
        <w:t xml:space="preserve"> </w:t>
      </w:r>
      <w:r w:rsidR="00F61CE1" w:rsidRPr="0072162B">
        <w:rPr>
          <w:rFonts w:ascii="Times New Roman" w:hAnsi="Times New Roman"/>
          <w:sz w:val="28"/>
          <w:szCs w:val="28"/>
        </w:rPr>
        <w:t>Fondun Himayəçilik Şurası</w:t>
      </w:r>
      <w:r w:rsidR="005B3B80" w:rsidRPr="0072162B">
        <w:rPr>
          <w:rFonts w:ascii="Times New Roman" w:hAnsi="Times New Roman"/>
          <w:sz w:val="28"/>
          <w:szCs w:val="28"/>
        </w:rPr>
        <w:t xml:space="preserve"> </w:t>
      </w:r>
      <w:r w:rsidRPr="0072162B">
        <w:rPr>
          <w:rFonts w:ascii="Times New Roman" w:hAnsi="Times New Roman"/>
          <w:sz w:val="28"/>
          <w:szCs w:val="28"/>
        </w:rPr>
        <w:t>qorunan əmanətlər üzrə illik faiz dərəcəsinin yuxarı həddini maliyyə bazarlarına nəzarət orqanı və Azərbaycan Respublikasının Mərkəzi Bankı ilə razılaşdırmaqla müəyyən edir.</w:t>
      </w:r>
    </w:p>
    <w:p w:rsidR="00FB0412" w:rsidRPr="0072162B" w:rsidRDefault="00F61CE1" w:rsidP="0072162B">
      <w:pPr>
        <w:spacing w:after="0"/>
        <w:ind w:firstLine="567"/>
        <w:jc w:val="both"/>
        <w:rPr>
          <w:rFonts w:ascii="Times New Roman" w:hAnsi="Times New Roman"/>
          <w:sz w:val="28"/>
          <w:szCs w:val="28"/>
        </w:rPr>
      </w:pPr>
      <w:r w:rsidRPr="0072162B">
        <w:rPr>
          <w:rFonts w:ascii="Times New Roman" w:hAnsi="Times New Roman"/>
          <w:sz w:val="28"/>
          <w:szCs w:val="28"/>
        </w:rPr>
        <w:t>Qeyd olunmalıdır ki,</w:t>
      </w:r>
      <w:r w:rsidR="000157EC" w:rsidRPr="0072162B">
        <w:rPr>
          <w:rFonts w:ascii="Times New Roman" w:hAnsi="Times New Roman"/>
          <w:sz w:val="28"/>
          <w:szCs w:val="28"/>
        </w:rPr>
        <w:t xml:space="preserve"> </w:t>
      </w:r>
      <w:r w:rsidR="0005276C" w:rsidRPr="0072162B">
        <w:rPr>
          <w:rFonts w:ascii="Times New Roman" w:hAnsi="Times New Roman"/>
          <w:sz w:val="28"/>
          <w:szCs w:val="28"/>
        </w:rPr>
        <w:t xml:space="preserve">Fondun </w:t>
      </w:r>
      <w:r w:rsidR="000157EC" w:rsidRPr="0072162B">
        <w:rPr>
          <w:rFonts w:ascii="Times New Roman" w:hAnsi="Times New Roman"/>
          <w:sz w:val="28"/>
          <w:szCs w:val="28"/>
        </w:rPr>
        <w:t>Himayəçilik Şurası qorunan əmanətlər üzrə illik faiz dərəcəsinin yuxarı həddinin müəyyən edilməsi ilə</w:t>
      </w:r>
      <w:r w:rsidR="0005276C" w:rsidRPr="0072162B">
        <w:rPr>
          <w:rFonts w:ascii="Times New Roman" w:hAnsi="Times New Roman"/>
          <w:sz w:val="28"/>
          <w:szCs w:val="28"/>
        </w:rPr>
        <w:t xml:space="preserve"> bağlı bir neç</w:t>
      </w:r>
      <w:r w:rsidR="000157EC" w:rsidRPr="0072162B">
        <w:rPr>
          <w:rFonts w:ascii="Times New Roman" w:hAnsi="Times New Roman"/>
          <w:sz w:val="28"/>
          <w:szCs w:val="28"/>
        </w:rPr>
        <w:t>ə</w:t>
      </w:r>
      <w:r w:rsidR="004C642A" w:rsidRPr="0072162B">
        <w:rPr>
          <w:rFonts w:ascii="Times New Roman" w:hAnsi="Times New Roman"/>
          <w:sz w:val="28"/>
          <w:szCs w:val="28"/>
        </w:rPr>
        <w:t xml:space="preserve"> q</w:t>
      </w:r>
      <w:r w:rsidR="000157EC" w:rsidRPr="0072162B">
        <w:rPr>
          <w:rFonts w:ascii="Times New Roman" w:hAnsi="Times New Roman"/>
          <w:sz w:val="28"/>
          <w:szCs w:val="28"/>
        </w:rPr>
        <w:t>ə</w:t>
      </w:r>
      <w:r w:rsidR="0005276C" w:rsidRPr="0072162B">
        <w:rPr>
          <w:rFonts w:ascii="Times New Roman" w:hAnsi="Times New Roman"/>
          <w:sz w:val="28"/>
          <w:szCs w:val="28"/>
        </w:rPr>
        <w:t>rar</w:t>
      </w:r>
      <w:r w:rsidR="004C642A" w:rsidRPr="0072162B">
        <w:rPr>
          <w:rFonts w:ascii="Times New Roman" w:hAnsi="Times New Roman"/>
          <w:sz w:val="28"/>
          <w:szCs w:val="28"/>
        </w:rPr>
        <w:t xml:space="preserve"> qəbul etmişdir.</w:t>
      </w:r>
      <w:r w:rsidR="0005276C" w:rsidRPr="0072162B">
        <w:rPr>
          <w:rFonts w:ascii="Times New Roman" w:hAnsi="Times New Roman"/>
          <w:sz w:val="28"/>
          <w:szCs w:val="28"/>
        </w:rPr>
        <w:t xml:space="preserve">  </w:t>
      </w:r>
      <w:r w:rsidR="00701396" w:rsidRPr="0072162B">
        <w:rPr>
          <w:rFonts w:ascii="Times New Roman" w:hAnsi="Times New Roman"/>
          <w:sz w:val="28"/>
          <w:szCs w:val="28"/>
        </w:rPr>
        <w:t xml:space="preserve">Belə ki, </w:t>
      </w:r>
      <w:r w:rsidR="004C642A" w:rsidRPr="0072162B">
        <w:rPr>
          <w:rFonts w:ascii="Times New Roman" w:hAnsi="Times New Roman"/>
          <w:sz w:val="28"/>
          <w:szCs w:val="28"/>
        </w:rPr>
        <w:t xml:space="preserve">2009-cu il </w:t>
      </w:r>
      <w:r w:rsidR="007D6B62" w:rsidRPr="0072162B">
        <w:rPr>
          <w:rFonts w:ascii="Times New Roman" w:hAnsi="Times New Roman"/>
          <w:sz w:val="28"/>
          <w:szCs w:val="28"/>
        </w:rPr>
        <w:t xml:space="preserve">10 iyun </w:t>
      </w:r>
      <w:r w:rsidR="004C642A" w:rsidRPr="0072162B">
        <w:rPr>
          <w:rFonts w:ascii="Times New Roman" w:hAnsi="Times New Roman"/>
          <w:sz w:val="28"/>
          <w:szCs w:val="28"/>
        </w:rPr>
        <w:t>tarixli</w:t>
      </w:r>
      <w:r w:rsidR="000157EC" w:rsidRPr="0072162B">
        <w:rPr>
          <w:rFonts w:ascii="Times New Roman" w:hAnsi="Times New Roman"/>
          <w:sz w:val="28"/>
          <w:szCs w:val="28"/>
        </w:rPr>
        <w:t xml:space="preserve"> </w:t>
      </w:r>
      <w:r w:rsidR="004C642A" w:rsidRPr="0072162B">
        <w:rPr>
          <w:rFonts w:ascii="Times New Roman" w:hAnsi="Times New Roman"/>
          <w:sz w:val="28"/>
          <w:szCs w:val="28"/>
        </w:rPr>
        <w:t>qə</w:t>
      </w:r>
      <w:r w:rsidR="00460532" w:rsidRPr="0072162B">
        <w:rPr>
          <w:rFonts w:ascii="Times New Roman" w:hAnsi="Times New Roman"/>
          <w:sz w:val="28"/>
          <w:szCs w:val="28"/>
        </w:rPr>
        <w:t>rar</w:t>
      </w:r>
      <w:r w:rsidR="004C642A" w:rsidRPr="0072162B">
        <w:rPr>
          <w:rFonts w:ascii="Times New Roman" w:hAnsi="Times New Roman"/>
          <w:sz w:val="28"/>
          <w:szCs w:val="28"/>
        </w:rPr>
        <w:t xml:space="preserve"> ilə </w:t>
      </w:r>
      <w:r w:rsidR="000157EC" w:rsidRPr="0072162B">
        <w:rPr>
          <w:rFonts w:ascii="Times New Roman" w:hAnsi="Times New Roman"/>
          <w:sz w:val="28"/>
          <w:szCs w:val="28"/>
        </w:rPr>
        <w:t xml:space="preserve">qorunan əmanətlər üzrə illik faiz dərəcəsinin yuxarı həddi </w:t>
      </w:r>
      <w:r w:rsidR="004C642A" w:rsidRPr="0072162B">
        <w:rPr>
          <w:rFonts w:ascii="Times New Roman" w:hAnsi="Times New Roman"/>
          <w:sz w:val="28"/>
          <w:szCs w:val="28"/>
        </w:rPr>
        <w:t xml:space="preserve"> </w:t>
      </w:r>
      <w:r w:rsidR="000157EC" w:rsidRPr="0072162B">
        <w:rPr>
          <w:rFonts w:ascii="Times New Roman" w:hAnsi="Times New Roman"/>
          <w:sz w:val="28"/>
          <w:szCs w:val="28"/>
        </w:rPr>
        <w:t>15 faiz</w:t>
      </w:r>
      <w:r w:rsidR="0005276C" w:rsidRPr="0072162B">
        <w:rPr>
          <w:rFonts w:ascii="Times New Roman" w:hAnsi="Times New Roman"/>
          <w:sz w:val="28"/>
          <w:szCs w:val="28"/>
        </w:rPr>
        <w:t>,</w:t>
      </w:r>
      <w:r w:rsidR="005B3B80" w:rsidRPr="0072162B">
        <w:rPr>
          <w:rFonts w:ascii="Times New Roman" w:hAnsi="Times New Roman"/>
          <w:sz w:val="28"/>
          <w:szCs w:val="28"/>
        </w:rPr>
        <w:t xml:space="preserve"> </w:t>
      </w:r>
      <w:r w:rsidR="000157EC" w:rsidRPr="0072162B">
        <w:rPr>
          <w:rFonts w:ascii="Times New Roman" w:hAnsi="Times New Roman"/>
          <w:sz w:val="28"/>
          <w:szCs w:val="28"/>
        </w:rPr>
        <w:t>2013-cü il</w:t>
      </w:r>
      <w:r w:rsidR="00FB7288" w:rsidRPr="0072162B">
        <w:rPr>
          <w:rFonts w:ascii="Times New Roman" w:hAnsi="Times New Roman"/>
          <w:sz w:val="28"/>
          <w:szCs w:val="28"/>
        </w:rPr>
        <w:t xml:space="preserve"> </w:t>
      </w:r>
      <w:r w:rsidR="007D6B62" w:rsidRPr="0072162B">
        <w:rPr>
          <w:rFonts w:ascii="Times New Roman" w:hAnsi="Times New Roman"/>
          <w:sz w:val="28"/>
          <w:szCs w:val="28"/>
        </w:rPr>
        <w:t>1 avqust</w:t>
      </w:r>
      <w:r w:rsidR="000157EC" w:rsidRPr="0072162B">
        <w:rPr>
          <w:rFonts w:ascii="Times New Roman" w:hAnsi="Times New Roman"/>
          <w:sz w:val="28"/>
          <w:szCs w:val="28"/>
        </w:rPr>
        <w:t xml:space="preserve"> tarixli </w:t>
      </w:r>
      <w:r w:rsidR="00460532" w:rsidRPr="0072162B">
        <w:rPr>
          <w:rFonts w:ascii="Times New Roman" w:hAnsi="Times New Roman"/>
          <w:sz w:val="28"/>
          <w:szCs w:val="28"/>
        </w:rPr>
        <w:t>q</w:t>
      </w:r>
      <w:r w:rsidR="000157EC" w:rsidRPr="0072162B">
        <w:rPr>
          <w:rFonts w:ascii="Times New Roman" w:hAnsi="Times New Roman"/>
          <w:sz w:val="28"/>
          <w:szCs w:val="28"/>
        </w:rPr>
        <w:t>ərar ilə 10 faiz</w:t>
      </w:r>
      <w:r w:rsidR="0005276C" w:rsidRPr="0072162B">
        <w:rPr>
          <w:rFonts w:ascii="Times New Roman" w:hAnsi="Times New Roman"/>
          <w:sz w:val="28"/>
          <w:szCs w:val="28"/>
        </w:rPr>
        <w:t xml:space="preserve">, </w:t>
      </w:r>
      <w:r w:rsidR="007D6B62" w:rsidRPr="0072162B">
        <w:rPr>
          <w:rFonts w:ascii="Times New Roman" w:hAnsi="Times New Roman"/>
          <w:sz w:val="28"/>
          <w:szCs w:val="28"/>
        </w:rPr>
        <w:t xml:space="preserve">2015-ci il </w:t>
      </w:r>
      <w:r w:rsidR="000157EC" w:rsidRPr="0072162B">
        <w:rPr>
          <w:rFonts w:ascii="Times New Roman" w:hAnsi="Times New Roman"/>
          <w:sz w:val="28"/>
          <w:szCs w:val="28"/>
        </w:rPr>
        <w:t xml:space="preserve">24 fevral tarixli </w:t>
      </w:r>
      <w:r w:rsidR="00460532" w:rsidRPr="0072162B">
        <w:rPr>
          <w:rFonts w:ascii="Times New Roman" w:hAnsi="Times New Roman"/>
          <w:sz w:val="28"/>
          <w:szCs w:val="28"/>
        </w:rPr>
        <w:t>q</w:t>
      </w:r>
      <w:r w:rsidR="000157EC" w:rsidRPr="0072162B">
        <w:rPr>
          <w:rFonts w:ascii="Times New Roman" w:hAnsi="Times New Roman"/>
          <w:sz w:val="28"/>
          <w:szCs w:val="28"/>
        </w:rPr>
        <w:t>ə</w:t>
      </w:r>
      <w:r w:rsidR="00FB7288" w:rsidRPr="0072162B">
        <w:rPr>
          <w:rFonts w:ascii="Times New Roman" w:hAnsi="Times New Roman"/>
          <w:sz w:val="28"/>
          <w:szCs w:val="28"/>
        </w:rPr>
        <w:t>rar</w:t>
      </w:r>
      <w:r w:rsidR="000157EC" w:rsidRPr="0072162B">
        <w:rPr>
          <w:rFonts w:ascii="Times New Roman" w:hAnsi="Times New Roman"/>
          <w:sz w:val="28"/>
          <w:szCs w:val="28"/>
        </w:rPr>
        <w:t xml:space="preserve"> ilə 12</w:t>
      </w:r>
      <w:r w:rsidR="004C642A" w:rsidRPr="0072162B">
        <w:rPr>
          <w:rFonts w:ascii="Times New Roman" w:hAnsi="Times New Roman"/>
          <w:sz w:val="28"/>
          <w:szCs w:val="28"/>
        </w:rPr>
        <w:t xml:space="preserve"> faiz</w:t>
      </w:r>
      <w:r w:rsidR="008D35C6" w:rsidRPr="0072162B">
        <w:rPr>
          <w:rFonts w:ascii="Times New Roman" w:hAnsi="Times New Roman"/>
          <w:sz w:val="28"/>
          <w:szCs w:val="28"/>
        </w:rPr>
        <w:t xml:space="preserve">, 2016-cı il 2 mart tarixli qərar ilə xarici valyuta üzrə 3 faiz, milli valyuta üzrə 12 faiz </w:t>
      </w:r>
      <w:r w:rsidR="00B73D9B" w:rsidRPr="0072162B">
        <w:rPr>
          <w:rFonts w:ascii="Times New Roman" w:hAnsi="Times New Roman"/>
          <w:sz w:val="28"/>
          <w:szCs w:val="28"/>
        </w:rPr>
        <w:t>müəyyən edilmişdir.</w:t>
      </w:r>
      <w:r w:rsidR="004C642A" w:rsidRPr="0072162B">
        <w:rPr>
          <w:rFonts w:ascii="Times New Roman" w:hAnsi="Times New Roman"/>
          <w:sz w:val="28"/>
          <w:szCs w:val="28"/>
        </w:rPr>
        <w:t xml:space="preserve"> </w:t>
      </w:r>
      <w:r w:rsidR="00B73D9B" w:rsidRPr="0072162B">
        <w:rPr>
          <w:rFonts w:ascii="Times New Roman" w:hAnsi="Times New Roman"/>
          <w:sz w:val="28"/>
          <w:szCs w:val="28"/>
        </w:rPr>
        <w:t xml:space="preserve">Fondun Himayəçilik Şurasının </w:t>
      </w:r>
      <w:r w:rsidR="00FB7288" w:rsidRPr="0072162B">
        <w:rPr>
          <w:rFonts w:ascii="Times New Roman" w:hAnsi="Times New Roman"/>
          <w:sz w:val="28"/>
          <w:szCs w:val="28"/>
        </w:rPr>
        <w:t xml:space="preserve">2016-cı il </w:t>
      </w:r>
      <w:r w:rsidR="008D35C6" w:rsidRPr="0072162B">
        <w:rPr>
          <w:rFonts w:ascii="Times New Roman" w:hAnsi="Times New Roman"/>
          <w:sz w:val="28"/>
          <w:szCs w:val="28"/>
        </w:rPr>
        <w:t xml:space="preserve">16 sentyabr </w:t>
      </w:r>
      <w:r w:rsidR="000157EC" w:rsidRPr="0072162B">
        <w:rPr>
          <w:rFonts w:ascii="Times New Roman" w:hAnsi="Times New Roman"/>
          <w:sz w:val="28"/>
          <w:szCs w:val="28"/>
        </w:rPr>
        <w:t xml:space="preserve">tarixli </w:t>
      </w:r>
      <w:r w:rsidR="00460532" w:rsidRPr="0072162B">
        <w:rPr>
          <w:rFonts w:ascii="Times New Roman" w:hAnsi="Times New Roman"/>
          <w:sz w:val="28"/>
          <w:szCs w:val="28"/>
        </w:rPr>
        <w:t>q</w:t>
      </w:r>
      <w:r w:rsidR="000157EC" w:rsidRPr="0072162B">
        <w:rPr>
          <w:rFonts w:ascii="Times New Roman" w:hAnsi="Times New Roman"/>
          <w:sz w:val="28"/>
          <w:szCs w:val="28"/>
        </w:rPr>
        <w:t>ərar</w:t>
      </w:r>
      <w:r w:rsidR="004C642A" w:rsidRPr="0072162B">
        <w:rPr>
          <w:rFonts w:ascii="Times New Roman" w:hAnsi="Times New Roman"/>
          <w:sz w:val="28"/>
          <w:szCs w:val="28"/>
        </w:rPr>
        <w:t>ı</w:t>
      </w:r>
      <w:r w:rsidR="000157EC" w:rsidRPr="0072162B">
        <w:rPr>
          <w:rFonts w:ascii="Times New Roman" w:hAnsi="Times New Roman"/>
          <w:sz w:val="28"/>
          <w:szCs w:val="28"/>
        </w:rPr>
        <w:t xml:space="preserve"> ilə</w:t>
      </w:r>
      <w:r w:rsidR="00460532" w:rsidRPr="0072162B">
        <w:rPr>
          <w:rFonts w:ascii="Times New Roman" w:hAnsi="Times New Roman"/>
          <w:sz w:val="28"/>
          <w:szCs w:val="28"/>
        </w:rPr>
        <w:t xml:space="preserve"> isə</w:t>
      </w:r>
      <w:r w:rsidR="0005276C" w:rsidRPr="0072162B">
        <w:rPr>
          <w:rFonts w:ascii="Times New Roman" w:hAnsi="Times New Roman"/>
          <w:sz w:val="28"/>
          <w:szCs w:val="28"/>
        </w:rPr>
        <w:t xml:space="preserve"> </w:t>
      </w:r>
      <w:r w:rsidR="000157EC" w:rsidRPr="0072162B">
        <w:rPr>
          <w:rFonts w:ascii="Times New Roman" w:hAnsi="Times New Roman"/>
          <w:sz w:val="28"/>
          <w:szCs w:val="28"/>
        </w:rPr>
        <w:t>banklarda qəbul edilən əmanətlər</w:t>
      </w:r>
      <w:r w:rsidR="00C341AF" w:rsidRPr="0072162B">
        <w:rPr>
          <w:rFonts w:ascii="Times New Roman" w:hAnsi="Times New Roman"/>
          <w:sz w:val="28"/>
          <w:szCs w:val="28"/>
        </w:rPr>
        <w:t>in</w:t>
      </w:r>
      <w:r w:rsidR="000157EC" w:rsidRPr="0072162B">
        <w:rPr>
          <w:rFonts w:ascii="Times New Roman" w:hAnsi="Times New Roman"/>
          <w:sz w:val="28"/>
          <w:szCs w:val="28"/>
        </w:rPr>
        <w:t xml:space="preserve"> illik faiz dərəcəsi xarici valyuta üzrə</w:t>
      </w:r>
      <w:r w:rsidR="00747196" w:rsidRPr="0072162B">
        <w:rPr>
          <w:rFonts w:ascii="Times New Roman" w:hAnsi="Times New Roman"/>
          <w:sz w:val="28"/>
          <w:szCs w:val="28"/>
        </w:rPr>
        <w:t xml:space="preserve"> </w:t>
      </w:r>
      <w:r w:rsidR="000157EC" w:rsidRPr="0072162B">
        <w:rPr>
          <w:rFonts w:ascii="Times New Roman" w:hAnsi="Times New Roman"/>
          <w:sz w:val="28"/>
          <w:szCs w:val="28"/>
        </w:rPr>
        <w:t>3 faiz</w:t>
      </w:r>
      <w:r w:rsidR="00747196" w:rsidRPr="0072162B">
        <w:rPr>
          <w:rFonts w:ascii="Times New Roman" w:hAnsi="Times New Roman"/>
          <w:sz w:val="28"/>
          <w:szCs w:val="28"/>
        </w:rPr>
        <w:t>,</w:t>
      </w:r>
      <w:r w:rsidR="000157EC" w:rsidRPr="0072162B">
        <w:rPr>
          <w:rFonts w:ascii="Times New Roman" w:hAnsi="Times New Roman"/>
          <w:sz w:val="28"/>
          <w:szCs w:val="28"/>
        </w:rPr>
        <w:t xml:space="preserve"> milli valyuta üzrə 15 faiz olmaqla 3 (üç) il müddətində tam sığortalanması müəyyən edilmişdir.</w:t>
      </w:r>
    </w:p>
    <w:p w:rsidR="00FB0412" w:rsidRPr="0072162B" w:rsidRDefault="007D6B62" w:rsidP="0072162B">
      <w:pPr>
        <w:spacing w:after="0"/>
        <w:ind w:firstLine="567"/>
        <w:jc w:val="both"/>
        <w:rPr>
          <w:rFonts w:ascii="Times New Roman" w:hAnsi="Times New Roman"/>
          <w:sz w:val="28"/>
          <w:szCs w:val="28"/>
        </w:rPr>
      </w:pPr>
      <w:r w:rsidRPr="0072162B">
        <w:rPr>
          <w:rFonts w:ascii="Times New Roman" w:hAnsi="Times New Roman"/>
          <w:sz w:val="28"/>
          <w:szCs w:val="28"/>
        </w:rPr>
        <w:t>Göründüyü</w:t>
      </w:r>
      <w:r w:rsidR="000157EC" w:rsidRPr="0072162B">
        <w:rPr>
          <w:rFonts w:ascii="Times New Roman" w:hAnsi="Times New Roman"/>
          <w:sz w:val="28"/>
          <w:szCs w:val="28"/>
        </w:rPr>
        <w:t xml:space="preserve"> kimi,</w:t>
      </w:r>
      <w:r w:rsidR="004C642A" w:rsidRPr="0072162B">
        <w:rPr>
          <w:rFonts w:ascii="Times New Roman" w:hAnsi="Times New Roman"/>
          <w:sz w:val="28"/>
          <w:szCs w:val="28"/>
        </w:rPr>
        <w:t xml:space="preserve"> </w:t>
      </w:r>
      <w:r w:rsidR="00C341AF" w:rsidRPr="0072162B">
        <w:rPr>
          <w:rFonts w:ascii="Times New Roman" w:hAnsi="Times New Roman"/>
          <w:sz w:val="28"/>
          <w:szCs w:val="28"/>
        </w:rPr>
        <w:t xml:space="preserve">Fondun </w:t>
      </w:r>
      <w:r w:rsidR="000157EC" w:rsidRPr="0072162B">
        <w:rPr>
          <w:rFonts w:ascii="Times New Roman" w:hAnsi="Times New Roman"/>
          <w:sz w:val="28"/>
          <w:szCs w:val="28"/>
        </w:rPr>
        <w:t xml:space="preserve">Himayəçilik Şurası tərəfindən </w:t>
      </w:r>
      <w:r w:rsidR="001C3640" w:rsidRPr="0072162B">
        <w:rPr>
          <w:rFonts w:ascii="Times New Roman" w:hAnsi="Times New Roman"/>
          <w:sz w:val="28"/>
          <w:szCs w:val="28"/>
        </w:rPr>
        <w:t>ayrı-ayrı</w:t>
      </w:r>
      <w:r w:rsidR="000157EC" w:rsidRPr="0072162B">
        <w:rPr>
          <w:rFonts w:ascii="Times New Roman" w:hAnsi="Times New Roman"/>
          <w:sz w:val="28"/>
          <w:szCs w:val="28"/>
        </w:rPr>
        <w:t xml:space="preserve"> vaxtlarda qəbul olunmuş </w:t>
      </w:r>
      <w:r w:rsidR="004C642A" w:rsidRPr="0072162B">
        <w:rPr>
          <w:rFonts w:ascii="Times New Roman" w:hAnsi="Times New Roman"/>
          <w:sz w:val="28"/>
          <w:szCs w:val="28"/>
        </w:rPr>
        <w:t>q</w:t>
      </w:r>
      <w:r w:rsidR="000157EC" w:rsidRPr="0072162B">
        <w:rPr>
          <w:rFonts w:ascii="Times New Roman" w:hAnsi="Times New Roman"/>
          <w:sz w:val="28"/>
          <w:szCs w:val="28"/>
        </w:rPr>
        <w:t>ə</w:t>
      </w:r>
      <w:r w:rsidR="001C3640" w:rsidRPr="0072162B">
        <w:rPr>
          <w:rFonts w:ascii="Times New Roman" w:hAnsi="Times New Roman"/>
          <w:sz w:val="28"/>
          <w:szCs w:val="28"/>
        </w:rPr>
        <w:t>rarlarda</w:t>
      </w:r>
      <w:r w:rsidR="000157EC" w:rsidRPr="0072162B">
        <w:rPr>
          <w:rFonts w:ascii="Times New Roman" w:hAnsi="Times New Roman"/>
          <w:sz w:val="28"/>
          <w:szCs w:val="28"/>
        </w:rPr>
        <w:t xml:space="preserve"> qorunan əmanətlər üzrə müxtəlif  faiz dərəcələri</w:t>
      </w:r>
      <w:r w:rsidR="004C642A" w:rsidRPr="0072162B">
        <w:rPr>
          <w:rFonts w:ascii="Times New Roman" w:hAnsi="Times New Roman"/>
          <w:sz w:val="28"/>
          <w:szCs w:val="28"/>
        </w:rPr>
        <w:t xml:space="preserve"> </w:t>
      </w:r>
      <w:r w:rsidR="000157EC" w:rsidRPr="0072162B">
        <w:rPr>
          <w:rFonts w:ascii="Times New Roman" w:hAnsi="Times New Roman"/>
          <w:sz w:val="28"/>
          <w:szCs w:val="28"/>
        </w:rPr>
        <w:t>nəzərdə tutulmuşdur</w:t>
      </w:r>
      <w:r w:rsidR="004C642A" w:rsidRPr="0072162B">
        <w:rPr>
          <w:rFonts w:ascii="Times New Roman" w:hAnsi="Times New Roman"/>
          <w:sz w:val="28"/>
          <w:szCs w:val="28"/>
        </w:rPr>
        <w:t>.</w:t>
      </w:r>
    </w:p>
    <w:p w:rsidR="00C341AF" w:rsidRPr="0072162B" w:rsidRDefault="00C341AF"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Qanunun 2.1.1-ci maddə</w:t>
      </w:r>
      <w:r w:rsidR="007D6B62" w:rsidRPr="0072162B">
        <w:rPr>
          <w:rFonts w:ascii="Times New Roman" w:hAnsi="Times New Roman"/>
          <w:sz w:val="28"/>
          <w:szCs w:val="28"/>
        </w:rPr>
        <w:t>sinə</w:t>
      </w:r>
      <w:r w:rsidRPr="0072162B">
        <w:rPr>
          <w:rFonts w:ascii="Times New Roman" w:hAnsi="Times New Roman"/>
          <w:sz w:val="28"/>
          <w:szCs w:val="28"/>
        </w:rPr>
        <w:t xml:space="preserve"> </w:t>
      </w:r>
      <w:r w:rsidR="007F023C" w:rsidRPr="0072162B">
        <w:rPr>
          <w:rFonts w:ascii="Times New Roman" w:hAnsi="Times New Roman"/>
          <w:sz w:val="28"/>
          <w:szCs w:val="28"/>
        </w:rPr>
        <w:t>g</w:t>
      </w:r>
      <w:r w:rsidRPr="0072162B">
        <w:rPr>
          <w:rFonts w:ascii="Times New Roman" w:hAnsi="Times New Roman"/>
          <w:sz w:val="28"/>
          <w:szCs w:val="28"/>
        </w:rPr>
        <w:t xml:space="preserve">örə, </w:t>
      </w:r>
      <w:r w:rsidR="007F023C" w:rsidRPr="0072162B">
        <w:rPr>
          <w:rFonts w:ascii="Times New Roman" w:hAnsi="Times New Roman"/>
          <w:sz w:val="28"/>
          <w:szCs w:val="28"/>
        </w:rPr>
        <w:t>əmanət – hesablanmış faizlər də daxil olmaqla, bankın milli və xarici valyutada qəbul etdiyi və müvafiq qanunvericiliyə və ya müqaviləyə əsasən geri ödəməli olduğu pul vəsaitləridir.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Bank və əmanətçilər arasında münasibətlər Azərbaycan Respublikası Mülki Məcəlləsinin</w:t>
      </w:r>
      <w:r w:rsidR="007F023C" w:rsidRPr="0072162B">
        <w:rPr>
          <w:rFonts w:ascii="Times New Roman" w:hAnsi="Times New Roman"/>
          <w:sz w:val="28"/>
          <w:szCs w:val="28"/>
        </w:rPr>
        <w:t xml:space="preserve"> (bundan sonra – Mülki Məcəllə)</w:t>
      </w:r>
      <w:r w:rsidRPr="0072162B">
        <w:rPr>
          <w:rFonts w:ascii="Times New Roman" w:hAnsi="Times New Roman"/>
          <w:sz w:val="28"/>
          <w:szCs w:val="28"/>
        </w:rPr>
        <w:t xml:space="preserve"> 51-ci fəslinin normaları və “Banklar haqqında” Azərbaycan Respublikasının Qanunu</w:t>
      </w:r>
      <w:r w:rsidR="007F023C" w:rsidRPr="0072162B">
        <w:rPr>
          <w:rFonts w:ascii="Times New Roman" w:hAnsi="Times New Roman"/>
          <w:sz w:val="28"/>
          <w:szCs w:val="28"/>
        </w:rPr>
        <w:t xml:space="preserve"> (bundan sonra – “Banklar haqqında” Qanun)</w:t>
      </w:r>
      <w:r w:rsidRPr="0072162B">
        <w:rPr>
          <w:rFonts w:ascii="Times New Roman" w:hAnsi="Times New Roman"/>
          <w:sz w:val="28"/>
          <w:szCs w:val="28"/>
        </w:rPr>
        <w:t xml:space="preserve"> ilə tənzimlənir.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Mülki Məcəllənin 944.1-ci maddəsinə</w:t>
      </w:r>
      <w:r w:rsidR="00C36ED7" w:rsidRPr="0072162B">
        <w:rPr>
          <w:rFonts w:ascii="Times New Roman" w:hAnsi="Times New Roman"/>
          <w:sz w:val="28"/>
          <w:szCs w:val="28"/>
        </w:rPr>
        <w:t xml:space="preserve"> əsasən</w:t>
      </w:r>
      <w:r w:rsidR="00292B67" w:rsidRPr="0072162B">
        <w:rPr>
          <w:rFonts w:ascii="Times New Roman" w:hAnsi="Times New Roman"/>
          <w:sz w:val="28"/>
          <w:szCs w:val="28"/>
        </w:rPr>
        <w:t>,</w:t>
      </w:r>
      <w:r w:rsidRPr="0072162B">
        <w:rPr>
          <w:rFonts w:ascii="Times New Roman" w:hAnsi="Times New Roman"/>
          <w:sz w:val="28"/>
          <w:szCs w:val="28"/>
        </w:rPr>
        <w:t xml:space="preserve"> bank əmanəti (depozit) müqaviləsinə görə bir tərəf (bank) başqa tərəfdən (əmanətçidən) və ya başqa tərəf (əmanətçi) üçün daxil olmuş pul məbləğini (əmanəti) qəbul edərək müqavilədə nəzərdə tutulmuş şərtlərlə və qaydada əmanət məbləğini əmanətçiyə qaytarmağı və onun üçün faizlər ödəməyi öhdəsinə götürür.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Bank əmanəti müqaviləsi əmanətçinin əmanəti banka verdiyi andan bağlanmış sayılır və əmanətçinin qoyduğu əmanət üzrə faizləri əldə etmək hüququ yaranır.</w:t>
      </w:r>
      <w:r w:rsidR="00F830C7" w:rsidRPr="0072162B">
        <w:rPr>
          <w:rFonts w:ascii="Times New Roman" w:hAnsi="Times New Roman"/>
          <w:sz w:val="28"/>
          <w:szCs w:val="28"/>
        </w:rPr>
        <w:t xml:space="preserve"> </w:t>
      </w:r>
      <w:r w:rsidRPr="0072162B">
        <w:rPr>
          <w:rFonts w:ascii="Times New Roman" w:hAnsi="Times New Roman"/>
          <w:sz w:val="28"/>
          <w:szCs w:val="28"/>
        </w:rPr>
        <w:t>Bank depozit əməliyyatı üzrə faiz dərəcələrini müəyyən edir və faizin miqdarı, bir qayda olaraq, bank əmanəti müqaviləsində göstərilir. Belə ki,</w:t>
      </w:r>
      <w:r w:rsidR="00F830C7" w:rsidRPr="0072162B">
        <w:rPr>
          <w:rFonts w:ascii="Times New Roman" w:hAnsi="Times New Roman"/>
          <w:sz w:val="28"/>
          <w:szCs w:val="28"/>
        </w:rPr>
        <w:t xml:space="preserve"> </w:t>
      </w:r>
      <w:r w:rsidRPr="0072162B">
        <w:rPr>
          <w:rFonts w:ascii="Times New Roman" w:hAnsi="Times New Roman"/>
          <w:sz w:val="28"/>
          <w:szCs w:val="28"/>
        </w:rPr>
        <w:t xml:space="preserve">Mülki Məcəllənin 948.1-ci maddəsinə </w:t>
      </w:r>
      <w:r w:rsidR="00F830C7" w:rsidRPr="0072162B">
        <w:rPr>
          <w:rFonts w:ascii="Times New Roman" w:hAnsi="Times New Roman"/>
          <w:sz w:val="28"/>
          <w:szCs w:val="28"/>
        </w:rPr>
        <w:t>əsasən</w:t>
      </w:r>
      <w:r w:rsidRPr="0072162B">
        <w:rPr>
          <w:rFonts w:ascii="Times New Roman" w:hAnsi="Times New Roman"/>
          <w:sz w:val="28"/>
          <w:szCs w:val="28"/>
        </w:rPr>
        <w:t xml:space="preserve">, bank əmanətçiyə əmanətin məbləği üçün bank əmanəti müqaviləsi ilə müəyyənləşdirilmiş miqdarda faizlər ödəyir. Müqavilədə ödənilən faizlərin miqdarı haqqında şərtlər olmadıqda bank faizləri bu Məcəllənin 449.1-ci maddəsinə uyğun müəyyənləşdirilən miqdarda ödəməlidir. </w:t>
      </w:r>
      <w:r w:rsidR="00F830C7" w:rsidRPr="0072162B">
        <w:rPr>
          <w:rFonts w:ascii="Times New Roman" w:hAnsi="Times New Roman"/>
          <w:sz w:val="28"/>
          <w:szCs w:val="28"/>
        </w:rPr>
        <w:t>Beləliklə,</w:t>
      </w:r>
      <w:r w:rsidRPr="0072162B">
        <w:rPr>
          <w:rFonts w:ascii="Times New Roman" w:hAnsi="Times New Roman"/>
          <w:sz w:val="28"/>
          <w:szCs w:val="28"/>
        </w:rPr>
        <w:t xml:space="preserve"> bank əmanəti müqaviləsində faizlərin miqdarı göstərilmədiyi halda belə, faizlər Mərkəzi Bank tərəfindən müəyyənləşdirilən bank uçot dərəcəsi əsasında təyin edilir.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lastRenderedPageBreak/>
        <w:t xml:space="preserve">Bank əmanəti müqaviləsi üzrə bankın əsas vəzifələrindən biri əmanətlərin qaytarılmasının təmin edilməsidir. Mülki Məcəllənin 950.1-ci maddəsinə </w:t>
      </w:r>
      <w:r w:rsidR="00F830C7" w:rsidRPr="0072162B">
        <w:rPr>
          <w:rFonts w:ascii="Times New Roman" w:hAnsi="Times New Roman"/>
          <w:sz w:val="28"/>
          <w:szCs w:val="28"/>
        </w:rPr>
        <w:t>görə</w:t>
      </w:r>
      <w:r w:rsidRPr="0072162B">
        <w:rPr>
          <w:rFonts w:ascii="Times New Roman" w:hAnsi="Times New Roman"/>
          <w:sz w:val="28"/>
          <w:szCs w:val="28"/>
        </w:rPr>
        <w:t>, banklar fiziki şəxslərin əmanətlərinin qaytarılmasını icbari sığorta yolu ilə, qanunda nəzərdə tutulan hallarda isə başqa üsullarla təmin etməlidirlər.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Bununla əlaqədar qeyd edilməlidir ki,  “Əmanətlərin sığortalanması haqqında” Qanunun 13.4-cü maddəsinə əsasən</w:t>
      </w:r>
      <w:r w:rsidR="00F830C7" w:rsidRPr="0072162B">
        <w:rPr>
          <w:rFonts w:ascii="Times New Roman" w:hAnsi="Times New Roman"/>
          <w:sz w:val="28"/>
          <w:szCs w:val="28"/>
        </w:rPr>
        <w:t>,</w:t>
      </w:r>
      <w:r w:rsidRPr="0072162B">
        <w:rPr>
          <w:rFonts w:ascii="Times New Roman" w:hAnsi="Times New Roman"/>
          <w:sz w:val="28"/>
          <w:szCs w:val="28"/>
        </w:rPr>
        <w:t xml:space="preserve"> təqvim haqları iştirakçı bankların Fondun reyestrinə daxil olunduğu gündən başlayaraq, birinci ildə qorunan əmanətlərin rüb ərzində orta günlük qalıq məbləğinin 0,15 faizi, sonrakı illərdə isə 0,125 faizi həcmində ödənilir. Qeyd edilə</w:t>
      </w:r>
      <w:r w:rsidR="00C36ED7" w:rsidRPr="0072162B">
        <w:rPr>
          <w:rFonts w:ascii="Times New Roman" w:hAnsi="Times New Roman"/>
          <w:sz w:val="28"/>
          <w:szCs w:val="28"/>
        </w:rPr>
        <w:t>n Qanunun 22.</w:t>
      </w:r>
      <w:r w:rsidRPr="0072162B">
        <w:rPr>
          <w:rFonts w:ascii="Times New Roman" w:hAnsi="Times New Roman"/>
          <w:sz w:val="28"/>
          <w:szCs w:val="28"/>
        </w:rPr>
        <w:t>1.1-ci maddəsinə əsasən</w:t>
      </w:r>
      <w:r w:rsidR="00C36ED7" w:rsidRPr="0072162B">
        <w:rPr>
          <w:rFonts w:ascii="Times New Roman" w:hAnsi="Times New Roman"/>
          <w:sz w:val="28"/>
          <w:szCs w:val="28"/>
        </w:rPr>
        <w:t>,</w:t>
      </w:r>
      <w:r w:rsidRPr="0072162B">
        <w:rPr>
          <w:rFonts w:ascii="Times New Roman" w:hAnsi="Times New Roman"/>
          <w:sz w:val="28"/>
          <w:szCs w:val="28"/>
        </w:rPr>
        <w:t xml:space="preserve"> Fond banklardan əmanətlər haqqında hesab</w:t>
      </w:r>
      <w:r w:rsidR="006E4375" w:rsidRPr="0072162B">
        <w:rPr>
          <w:rFonts w:ascii="Times New Roman" w:hAnsi="Times New Roman"/>
          <w:sz w:val="28"/>
          <w:szCs w:val="28"/>
        </w:rPr>
        <w:t>a</w:t>
      </w:r>
      <w:r w:rsidRPr="0072162B">
        <w:rPr>
          <w:rFonts w:ascii="Times New Roman" w:hAnsi="Times New Roman"/>
          <w:sz w:val="28"/>
          <w:szCs w:val="28"/>
        </w:rPr>
        <w:t>tlar alır.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Hə</w:t>
      </w:r>
      <w:r w:rsidR="00FB7288" w:rsidRPr="0072162B">
        <w:rPr>
          <w:rFonts w:ascii="Times New Roman" w:hAnsi="Times New Roman"/>
          <w:sz w:val="28"/>
          <w:szCs w:val="28"/>
        </w:rPr>
        <w:t>mçinin</w:t>
      </w:r>
      <w:r w:rsidRPr="0072162B">
        <w:rPr>
          <w:rFonts w:ascii="Times New Roman" w:hAnsi="Times New Roman"/>
          <w:sz w:val="28"/>
          <w:szCs w:val="28"/>
        </w:rPr>
        <w:t xml:space="preserve"> </w:t>
      </w:r>
      <w:r w:rsidR="00292B67" w:rsidRPr="0072162B">
        <w:rPr>
          <w:rFonts w:ascii="Times New Roman" w:hAnsi="Times New Roman"/>
          <w:sz w:val="28"/>
          <w:szCs w:val="28"/>
        </w:rPr>
        <w:t>Fondun</w:t>
      </w:r>
      <w:r w:rsidRPr="0072162B">
        <w:rPr>
          <w:rFonts w:ascii="Times New Roman" w:hAnsi="Times New Roman"/>
          <w:sz w:val="28"/>
          <w:szCs w:val="28"/>
        </w:rPr>
        <w:t xml:space="preserve"> Himayəçilik Şurası tərəfindən təsdiq edilmiş “İştirakçı banklar tərəfindən Əmanətlərin Sığortalanması Fonduna təqvim haqlarının ödənilməsi və hesabatların təqdim edilmə</w:t>
      </w:r>
      <w:r w:rsidR="00FB7288" w:rsidRPr="0072162B">
        <w:rPr>
          <w:rFonts w:ascii="Times New Roman" w:hAnsi="Times New Roman"/>
          <w:sz w:val="28"/>
          <w:szCs w:val="28"/>
        </w:rPr>
        <w:t>si Qaydaları”</w:t>
      </w:r>
      <w:r w:rsidRPr="0072162B">
        <w:rPr>
          <w:rFonts w:ascii="Times New Roman" w:hAnsi="Times New Roman"/>
          <w:sz w:val="28"/>
          <w:szCs w:val="28"/>
        </w:rPr>
        <w:t>nın 2.1-ci bəndinə əsasən</w:t>
      </w:r>
      <w:r w:rsidR="00292B67" w:rsidRPr="0072162B">
        <w:rPr>
          <w:rFonts w:ascii="Times New Roman" w:hAnsi="Times New Roman"/>
          <w:sz w:val="28"/>
          <w:szCs w:val="28"/>
        </w:rPr>
        <w:t>,</w:t>
      </w:r>
      <w:r w:rsidRPr="0072162B">
        <w:rPr>
          <w:rFonts w:ascii="Times New Roman" w:hAnsi="Times New Roman"/>
          <w:sz w:val="28"/>
          <w:szCs w:val="28"/>
        </w:rPr>
        <w:t xml:space="preserve"> təqvim haqları banklar tərəfindən hər rüb ödənilir. Bu Qaydaların 3.1-ci bəndinə görə</w:t>
      </w:r>
      <w:r w:rsidR="00292B67" w:rsidRPr="0072162B">
        <w:rPr>
          <w:rFonts w:ascii="Times New Roman" w:hAnsi="Times New Roman"/>
          <w:sz w:val="28"/>
          <w:szCs w:val="28"/>
        </w:rPr>
        <w:t>,</w:t>
      </w:r>
      <w:r w:rsidRPr="0072162B">
        <w:rPr>
          <w:rFonts w:ascii="Times New Roman" w:hAnsi="Times New Roman"/>
          <w:sz w:val="28"/>
          <w:szCs w:val="28"/>
        </w:rPr>
        <w:t xml:space="preserve"> </w:t>
      </w:r>
      <w:r w:rsidR="00AE3D48" w:rsidRPr="0072162B">
        <w:rPr>
          <w:rFonts w:ascii="Times New Roman" w:hAnsi="Times New Roman"/>
          <w:sz w:val="28"/>
          <w:szCs w:val="28"/>
        </w:rPr>
        <w:t>b</w:t>
      </w:r>
      <w:r w:rsidRPr="0072162B">
        <w:rPr>
          <w:rFonts w:ascii="Times New Roman" w:hAnsi="Times New Roman"/>
          <w:sz w:val="28"/>
          <w:szCs w:val="28"/>
        </w:rPr>
        <w:t>ankın verdiyi rüblük hesabatlarda da əmanətin qorunan və ya qorunmayan olması müəyyənləşdirilə bilər.</w:t>
      </w:r>
    </w:p>
    <w:p w:rsidR="00FB0412" w:rsidRPr="0072162B" w:rsidRDefault="00090BD0"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 iştirakçı bankda sığorta hadisəsinin baş verməsi ilə əlaqə</w:t>
      </w:r>
      <w:r w:rsidR="00AE3D48" w:rsidRPr="0072162B">
        <w:rPr>
          <w:rFonts w:ascii="Times New Roman" w:hAnsi="Times New Roman"/>
          <w:sz w:val="28"/>
          <w:szCs w:val="28"/>
        </w:rPr>
        <w:t>dar qoruna</w:t>
      </w:r>
      <w:r w:rsidRPr="0072162B">
        <w:rPr>
          <w:rFonts w:ascii="Times New Roman" w:hAnsi="Times New Roman"/>
          <w:sz w:val="28"/>
          <w:szCs w:val="28"/>
        </w:rPr>
        <w:t xml:space="preserve">n əmanətlər üzrə müəyyən edilmiş illik faiz dərəcəsi həddinə riayət olunmaqla bağlanılaraq bankın əməliyyat sisteminə qorunan əmanət kimi daxil edilmiş </w:t>
      </w:r>
      <w:r w:rsidR="00AE3D48" w:rsidRPr="0072162B">
        <w:rPr>
          <w:rFonts w:ascii="Times New Roman" w:hAnsi="Times New Roman"/>
          <w:sz w:val="28"/>
          <w:szCs w:val="28"/>
        </w:rPr>
        <w:t>b</w:t>
      </w:r>
      <w:r w:rsidRPr="0072162B">
        <w:rPr>
          <w:rFonts w:ascii="Times New Roman" w:hAnsi="Times New Roman"/>
          <w:sz w:val="28"/>
          <w:szCs w:val="28"/>
        </w:rPr>
        <w:t>ank əmanəti müqavilələri əsasında kompensasiya ödənilməsini nəzərdə tutur.</w:t>
      </w:r>
    </w:p>
    <w:p w:rsidR="00FB0412" w:rsidRPr="0072162B" w:rsidRDefault="00B87FC3" w:rsidP="0072162B">
      <w:pPr>
        <w:spacing w:after="0"/>
        <w:ind w:firstLine="567"/>
        <w:jc w:val="both"/>
        <w:rPr>
          <w:rFonts w:ascii="Times New Roman" w:hAnsi="Times New Roman"/>
          <w:sz w:val="28"/>
          <w:szCs w:val="28"/>
        </w:rPr>
      </w:pPr>
      <w:r w:rsidRPr="0072162B">
        <w:rPr>
          <w:rFonts w:ascii="Times New Roman" w:hAnsi="Times New Roman"/>
          <w:sz w:val="28"/>
          <w:szCs w:val="28"/>
        </w:rPr>
        <w:t>Bununla əlaqədar olaraq qeyd edilməlidir ki,  “Dəmir Bank” ASC-nin fəaliyyət göstərdiyi dövrdə əmanət müqaviləsi üzrə faiz dərəcələri əsas götürülməklə qeyd olunan əmanətlər bankın əməliyyat sisteminə qorunan əmanət kimi daxil edilmiş və həmin əmanətlərə görə Fonda təqvim haqları hesablanaraq ödənilmişdir.</w:t>
      </w:r>
    </w:p>
    <w:p w:rsidR="00292B67" w:rsidRPr="0072162B" w:rsidRDefault="00292B67" w:rsidP="0072162B">
      <w:pPr>
        <w:spacing w:after="0"/>
        <w:ind w:firstLine="567"/>
        <w:jc w:val="both"/>
        <w:rPr>
          <w:rFonts w:ascii="Times New Roman" w:hAnsi="Times New Roman"/>
          <w:sz w:val="28"/>
          <w:szCs w:val="28"/>
        </w:rPr>
      </w:pPr>
      <w:r w:rsidRPr="0072162B">
        <w:rPr>
          <w:rFonts w:ascii="Times New Roman" w:hAnsi="Times New Roman"/>
          <w:sz w:val="28"/>
          <w:szCs w:val="28"/>
        </w:rPr>
        <w:t>Qeyd olunduğu kimi</w:t>
      </w:r>
      <w:r w:rsidR="00AE3D48" w:rsidRPr="0072162B">
        <w:rPr>
          <w:rFonts w:ascii="Times New Roman" w:hAnsi="Times New Roman"/>
          <w:sz w:val="28"/>
          <w:szCs w:val="28"/>
        </w:rPr>
        <w:t>,</w:t>
      </w:r>
      <w:r w:rsidRPr="0072162B">
        <w:rPr>
          <w:rFonts w:ascii="Times New Roman" w:hAnsi="Times New Roman"/>
          <w:sz w:val="28"/>
          <w:szCs w:val="28"/>
        </w:rPr>
        <w:t xml:space="preserve"> “Dəmir Bank” ASC müştərilərlə iki müqavilə bağlamışdır. Bunlardan biri illik faiz dərəcəsinin yuxarı həddində bank əmanəti müqaviləsi, digəri isə əlavə bonus ödənişlərinin verilməsi barədə saziş olmuşdur. </w:t>
      </w:r>
    </w:p>
    <w:p w:rsidR="00FB0412" w:rsidRPr="0072162B" w:rsidRDefault="002E158E" w:rsidP="0072162B">
      <w:pPr>
        <w:spacing w:after="0"/>
        <w:ind w:firstLine="567"/>
        <w:jc w:val="both"/>
        <w:rPr>
          <w:rFonts w:ascii="Times New Roman" w:hAnsi="Times New Roman"/>
          <w:sz w:val="28"/>
          <w:szCs w:val="28"/>
        </w:rPr>
      </w:pPr>
      <w:r w:rsidRPr="0072162B">
        <w:rPr>
          <w:rFonts w:ascii="Times New Roman" w:hAnsi="Times New Roman"/>
          <w:sz w:val="28"/>
          <w:szCs w:val="28"/>
        </w:rPr>
        <w:t>Bank ilə əmanətçilər (müştərilər) arasında bağlanılan 2 faiz bonus (mükafat) müqavilələ</w:t>
      </w:r>
      <w:r w:rsidR="00D609C7" w:rsidRPr="0072162B">
        <w:rPr>
          <w:rFonts w:ascii="Times New Roman" w:hAnsi="Times New Roman"/>
          <w:sz w:val="28"/>
          <w:szCs w:val="28"/>
        </w:rPr>
        <w:t>ri</w:t>
      </w:r>
      <w:r w:rsidRPr="0072162B">
        <w:rPr>
          <w:rFonts w:ascii="Times New Roman" w:hAnsi="Times New Roman"/>
          <w:sz w:val="28"/>
          <w:szCs w:val="28"/>
        </w:rPr>
        <w:t xml:space="preserve"> mülki qanunvericiliyin əsas prinsiplərindən biri olan müqavilə azadlığı prinsipinə ə</w:t>
      </w:r>
      <w:r w:rsidR="00AE3D48" w:rsidRPr="0072162B">
        <w:rPr>
          <w:rFonts w:ascii="Times New Roman" w:hAnsi="Times New Roman"/>
          <w:sz w:val="28"/>
          <w:szCs w:val="28"/>
        </w:rPr>
        <w:t>saslanmışdır</w:t>
      </w:r>
      <w:r w:rsidRPr="0072162B">
        <w:rPr>
          <w:rFonts w:ascii="Times New Roman" w:hAnsi="Times New Roman"/>
          <w:sz w:val="28"/>
          <w:szCs w:val="28"/>
        </w:rPr>
        <w:t>.</w:t>
      </w:r>
    </w:p>
    <w:p w:rsidR="00FB0412" w:rsidRPr="0072162B" w:rsidRDefault="002E158E"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Müqavilə azadlığı </w:t>
      </w:r>
      <w:r w:rsidR="00D853A4" w:rsidRPr="0072162B">
        <w:rPr>
          <w:rFonts w:ascii="Times New Roman" w:hAnsi="Times New Roman"/>
          <w:sz w:val="28"/>
          <w:szCs w:val="28"/>
        </w:rPr>
        <w:t xml:space="preserve">Azərbaycan Respublikası </w:t>
      </w:r>
      <w:r w:rsidRPr="0072162B">
        <w:rPr>
          <w:rFonts w:ascii="Times New Roman" w:hAnsi="Times New Roman"/>
          <w:sz w:val="28"/>
          <w:szCs w:val="28"/>
        </w:rPr>
        <w:t>Konstitusiya</w:t>
      </w:r>
      <w:r w:rsidR="00AE3D48" w:rsidRPr="0072162B">
        <w:rPr>
          <w:rFonts w:ascii="Times New Roman" w:hAnsi="Times New Roman"/>
          <w:sz w:val="28"/>
          <w:szCs w:val="28"/>
        </w:rPr>
        <w:t>sı</w:t>
      </w:r>
      <w:r w:rsidRPr="0072162B">
        <w:rPr>
          <w:rFonts w:ascii="Times New Roman" w:hAnsi="Times New Roman"/>
          <w:sz w:val="28"/>
          <w:szCs w:val="28"/>
        </w:rPr>
        <w:t>nın</w:t>
      </w:r>
      <w:r w:rsidR="00D853A4" w:rsidRPr="0072162B">
        <w:rPr>
          <w:rFonts w:ascii="Times New Roman" w:hAnsi="Times New Roman"/>
          <w:sz w:val="28"/>
          <w:szCs w:val="28"/>
        </w:rPr>
        <w:t xml:space="preserve"> (bundan sonra –Konstitusiya)</w:t>
      </w:r>
      <w:r w:rsidRPr="0072162B">
        <w:rPr>
          <w:rFonts w:ascii="Times New Roman" w:hAnsi="Times New Roman"/>
          <w:sz w:val="28"/>
          <w:szCs w:val="28"/>
        </w:rPr>
        <w:t xml:space="preserve"> 29-cu və Mülki Məcəllənin 152.1-ci maddələrində nəzərdə tutulmuş mülkiyyət, eləcə də Konstitusiyanın 59-cu maddəsində təsbit edilmiş azad sahibkarlıq hüquqlarının reallaşdırılması elementlərindən biri kimi çıxış edir. Mülki qanunvericiliyə müvafiq olaraq müqavilə azad qaydada bağlanılır və məzmunu tərəflərin iradəsi ilə müəyyənləşdirilir. Belə ki, Mülki Məcəllənin 390-cı maddəsi ilə fiziki və hüquqi </w:t>
      </w:r>
      <w:r w:rsidRPr="0072162B">
        <w:rPr>
          <w:rFonts w:ascii="Times New Roman" w:hAnsi="Times New Roman"/>
          <w:sz w:val="28"/>
          <w:szCs w:val="28"/>
        </w:rPr>
        <w:lastRenderedPageBreak/>
        <w:t>şəxslərə azad surətdə müqavilələr bağlamaq və bu müqavilələrin məzmununu müəyyənləşdirmək təminatı verilir. Müqavilə azadlığının məzmununu formalaşdıran elementlər sırasına seçdiyi kontragentlə müqavilə bağlamaq (və ya bağlamamaq), onun növü və formasını, habelə bağlanan müqavilənin şərtlərini, o cümlədən müvafiq qiymətləri müəyyən etmək azadlığını aid etmək olar.</w:t>
      </w:r>
    </w:p>
    <w:p w:rsidR="00FB0412" w:rsidRPr="0072162B" w:rsidRDefault="003A7A37"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Bank əmanətçiləri cəlb etmək üçün öz təşəbbüsü ilə  digər ödənişlər edə bilər. Belə ki, əmanətdən əldə edilən digər növ gəlirlər (hədiyyə, bonus) bankın əmanət siyasətinin bir formasıdır. </w:t>
      </w:r>
      <w:r w:rsidR="002E158E" w:rsidRPr="0072162B">
        <w:rPr>
          <w:rFonts w:ascii="Times New Roman" w:hAnsi="Times New Roman"/>
          <w:sz w:val="28"/>
          <w:szCs w:val="28"/>
        </w:rPr>
        <w:t>Bu baxımdan əmanətç</w:t>
      </w:r>
      <w:r w:rsidR="00F87A5C" w:rsidRPr="0072162B">
        <w:rPr>
          <w:rFonts w:ascii="Times New Roman" w:hAnsi="Times New Roman"/>
          <w:sz w:val="28"/>
          <w:szCs w:val="28"/>
        </w:rPr>
        <w:t>i</w:t>
      </w:r>
      <w:r w:rsidR="002E158E" w:rsidRPr="0072162B">
        <w:rPr>
          <w:rFonts w:ascii="Times New Roman" w:hAnsi="Times New Roman"/>
          <w:sz w:val="28"/>
          <w:szCs w:val="28"/>
        </w:rPr>
        <w:t xml:space="preserve"> (müştəri) tam sərbəst şəkildə </w:t>
      </w:r>
      <w:r w:rsidRPr="0072162B">
        <w:rPr>
          <w:rFonts w:ascii="Times New Roman" w:hAnsi="Times New Roman"/>
          <w:sz w:val="28"/>
          <w:szCs w:val="28"/>
        </w:rPr>
        <w:t>əlavə gəlir əldə etmək məqsədi</w:t>
      </w:r>
      <w:r w:rsidR="00A30536" w:rsidRPr="0072162B">
        <w:rPr>
          <w:rFonts w:ascii="Times New Roman" w:hAnsi="Times New Roman"/>
          <w:sz w:val="28"/>
          <w:szCs w:val="28"/>
        </w:rPr>
        <w:t xml:space="preserve"> i</w:t>
      </w:r>
      <w:r w:rsidRPr="0072162B">
        <w:rPr>
          <w:rFonts w:ascii="Times New Roman" w:hAnsi="Times New Roman"/>
          <w:sz w:val="28"/>
          <w:szCs w:val="28"/>
        </w:rPr>
        <w:t xml:space="preserve">lə bankla </w:t>
      </w:r>
      <w:r w:rsidR="002E158E" w:rsidRPr="0072162B">
        <w:rPr>
          <w:rFonts w:ascii="Times New Roman" w:hAnsi="Times New Roman"/>
          <w:sz w:val="28"/>
          <w:szCs w:val="28"/>
        </w:rPr>
        <w:t>əlavə müqavilə bağlamaq  hüququna malikdir.</w:t>
      </w:r>
    </w:p>
    <w:p w:rsidR="00FB0412" w:rsidRPr="0072162B" w:rsidRDefault="00F201C5"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w:t>
      </w:r>
      <w:r w:rsidR="00BA18EB" w:rsidRPr="0072162B">
        <w:rPr>
          <w:rFonts w:ascii="Times New Roman" w:hAnsi="Times New Roman"/>
          <w:sz w:val="28"/>
          <w:szCs w:val="28"/>
        </w:rPr>
        <w:t>ğortalanması haqqında” Qanunun</w:t>
      </w:r>
      <w:r w:rsidRPr="0072162B">
        <w:rPr>
          <w:rFonts w:ascii="Times New Roman" w:hAnsi="Times New Roman"/>
          <w:sz w:val="28"/>
          <w:szCs w:val="28"/>
        </w:rPr>
        <w:t xml:space="preserve"> 2.1.2.6-cı maddəsinin tələblərinə uyğun olaraq əmanətin qorunan əmanət statusuna aid edilməsi üçün </w:t>
      </w:r>
      <w:r w:rsidR="009C3399" w:rsidRPr="0072162B">
        <w:rPr>
          <w:rFonts w:ascii="Times New Roman" w:hAnsi="Times New Roman"/>
          <w:sz w:val="28"/>
          <w:szCs w:val="28"/>
        </w:rPr>
        <w:t xml:space="preserve">əmanətə görə ödənilən cəmi faiz </w:t>
      </w:r>
      <w:r w:rsidR="00940BAC" w:rsidRPr="0072162B">
        <w:rPr>
          <w:rFonts w:ascii="Times New Roman" w:hAnsi="Times New Roman"/>
          <w:sz w:val="28"/>
          <w:szCs w:val="28"/>
        </w:rPr>
        <w:t>qorun</w:t>
      </w:r>
      <w:r w:rsidR="00BA18EB" w:rsidRPr="0072162B">
        <w:rPr>
          <w:rFonts w:ascii="Times New Roman" w:hAnsi="Times New Roman"/>
          <w:sz w:val="28"/>
          <w:szCs w:val="28"/>
        </w:rPr>
        <w:t>a</w:t>
      </w:r>
      <w:r w:rsidR="00940BAC" w:rsidRPr="0072162B">
        <w:rPr>
          <w:rFonts w:ascii="Times New Roman" w:hAnsi="Times New Roman"/>
          <w:sz w:val="28"/>
          <w:szCs w:val="28"/>
        </w:rPr>
        <w:t>n əmanətlər üçün müəyyən edilmiş illik faiz dərəcəsindən artıq olmamalıdır. Əmanətdən əldə edilən bonus bankın əmanət siyasətinin bir forması olduğundan illik faiz dərəcəsinə aid edilməməlidir.</w:t>
      </w:r>
    </w:p>
    <w:p w:rsidR="00FB0412" w:rsidRPr="0072162B" w:rsidRDefault="00DA251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Konstitusiya Məhkəməsi Plenumunun qənaətinə görə, bonuslar nəzərə alınmamaqla əmanət müqaviləsi üzrə </w:t>
      </w:r>
      <w:r w:rsidR="00AE3D48" w:rsidRPr="0072162B">
        <w:rPr>
          <w:rFonts w:ascii="Times New Roman" w:hAnsi="Times New Roman"/>
          <w:sz w:val="28"/>
          <w:szCs w:val="28"/>
        </w:rPr>
        <w:t>qorun</w:t>
      </w:r>
      <w:r w:rsidR="009F04DE" w:rsidRPr="0072162B">
        <w:rPr>
          <w:rFonts w:ascii="Times New Roman" w:hAnsi="Times New Roman"/>
          <w:sz w:val="28"/>
          <w:szCs w:val="28"/>
        </w:rPr>
        <w:t>a</w:t>
      </w:r>
      <w:r w:rsidRPr="0072162B">
        <w:rPr>
          <w:rFonts w:ascii="Times New Roman" w:hAnsi="Times New Roman"/>
          <w:sz w:val="28"/>
          <w:szCs w:val="28"/>
        </w:rPr>
        <w:t>n əmanətlər üçün müəyyən edilmiş illik faiz dərəcəsi</w:t>
      </w:r>
      <w:r w:rsidR="00606137" w:rsidRPr="0072162B">
        <w:rPr>
          <w:rFonts w:ascii="Times New Roman" w:hAnsi="Times New Roman"/>
          <w:sz w:val="28"/>
          <w:szCs w:val="28"/>
        </w:rPr>
        <w:t xml:space="preserve"> ilə qəbul edilmiş </w:t>
      </w:r>
      <w:r w:rsidRPr="0072162B">
        <w:rPr>
          <w:rFonts w:ascii="Times New Roman" w:hAnsi="Times New Roman"/>
          <w:sz w:val="28"/>
          <w:szCs w:val="28"/>
        </w:rPr>
        <w:t>əmanətlərin bankın əməliyyat sisteminə qorunan əmanət kimi daxil edilməsi və Fonda təqvim haqlarının ödənilməsi sığorta hadisəsi baş verən zaman əmanətçilərə kompensasiyanın ödənilməsi üçün ə</w:t>
      </w:r>
      <w:r w:rsidR="00AE3D48" w:rsidRPr="0072162B">
        <w:rPr>
          <w:rFonts w:ascii="Times New Roman" w:hAnsi="Times New Roman"/>
          <w:sz w:val="28"/>
          <w:szCs w:val="28"/>
        </w:rPr>
        <w:t>sas hesab edilə bilər</w:t>
      </w:r>
      <w:r w:rsidRPr="0072162B">
        <w:rPr>
          <w:rFonts w:ascii="Times New Roman" w:hAnsi="Times New Roman"/>
          <w:sz w:val="28"/>
          <w:szCs w:val="28"/>
        </w:rPr>
        <w:t>.</w:t>
      </w:r>
    </w:p>
    <w:p w:rsidR="00094F0F" w:rsidRPr="0072162B" w:rsidRDefault="00D64979" w:rsidP="0072162B">
      <w:pPr>
        <w:spacing w:after="0"/>
        <w:ind w:firstLine="567"/>
        <w:jc w:val="both"/>
        <w:rPr>
          <w:rFonts w:ascii="Times New Roman" w:hAnsi="Times New Roman"/>
          <w:sz w:val="28"/>
          <w:szCs w:val="28"/>
        </w:rPr>
      </w:pPr>
      <w:r w:rsidRPr="0072162B">
        <w:rPr>
          <w:rFonts w:ascii="Times New Roman" w:hAnsi="Times New Roman"/>
          <w:sz w:val="28"/>
          <w:szCs w:val="28"/>
        </w:rPr>
        <w:t>Konstitusiya Məhkəməsinin Plenumu s</w:t>
      </w:r>
      <w:r w:rsidR="00163FD0" w:rsidRPr="0072162B">
        <w:rPr>
          <w:rFonts w:ascii="Times New Roman" w:hAnsi="Times New Roman"/>
          <w:sz w:val="28"/>
          <w:szCs w:val="28"/>
        </w:rPr>
        <w:t>orğuda qaldırılan</w:t>
      </w:r>
      <w:r w:rsidRPr="0072162B">
        <w:rPr>
          <w:rFonts w:ascii="Times New Roman" w:hAnsi="Times New Roman"/>
          <w:sz w:val="28"/>
          <w:szCs w:val="28"/>
        </w:rPr>
        <w:t xml:space="preserve"> digər məsələ - </w:t>
      </w:r>
      <w:r w:rsidR="00966B03" w:rsidRPr="0072162B">
        <w:rPr>
          <w:rFonts w:ascii="Times New Roman" w:hAnsi="Times New Roman"/>
          <w:sz w:val="28"/>
          <w:szCs w:val="28"/>
        </w:rPr>
        <w:t xml:space="preserve">təshih tədbirinin tətbiqindən sonra </w:t>
      </w:r>
      <w:r w:rsidRPr="0072162B">
        <w:rPr>
          <w:rFonts w:ascii="Times New Roman" w:hAnsi="Times New Roman"/>
          <w:sz w:val="28"/>
          <w:szCs w:val="28"/>
        </w:rPr>
        <w:t>şərtləri dəyişdirilmiş (faiz dərəcəsinin aşağı salınması yolu ilə) əmanətlərin qorunan əmanət hesab edilib-edilməməsi</w:t>
      </w:r>
      <w:r w:rsidR="00966B03" w:rsidRPr="0072162B">
        <w:rPr>
          <w:rFonts w:ascii="Times New Roman" w:hAnsi="Times New Roman"/>
          <w:sz w:val="28"/>
          <w:szCs w:val="28"/>
        </w:rPr>
        <w:t xml:space="preserve"> </w:t>
      </w:r>
      <w:r w:rsidRPr="0072162B">
        <w:rPr>
          <w:rFonts w:ascii="Times New Roman" w:hAnsi="Times New Roman"/>
          <w:sz w:val="28"/>
          <w:szCs w:val="28"/>
        </w:rPr>
        <w:t>ilə əlaqədar</w:t>
      </w:r>
      <w:r w:rsidR="008B01D5" w:rsidRPr="0072162B">
        <w:rPr>
          <w:rFonts w:ascii="Times New Roman" w:hAnsi="Times New Roman"/>
          <w:sz w:val="28"/>
          <w:szCs w:val="28"/>
        </w:rPr>
        <w:t>,</w:t>
      </w:r>
      <w:r w:rsidR="00094F0F" w:rsidRPr="0072162B">
        <w:rPr>
          <w:rFonts w:ascii="Times New Roman" w:hAnsi="Times New Roman"/>
          <w:sz w:val="28"/>
          <w:szCs w:val="28"/>
        </w:rPr>
        <w:t xml:space="preserve"> ilk növbədə</w:t>
      </w:r>
      <w:r w:rsidR="008B01D5" w:rsidRPr="0072162B">
        <w:rPr>
          <w:rFonts w:ascii="Times New Roman" w:hAnsi="Times New Roman"/>
          <w:sz w:val="28"/>
          <w:szCs w:val="28"/>
        </w:rPr>
        <w:t>,</w:t>
      </w:r>
      <w:r w:rsidRPr="0072162B">
        <w:rPr>
          <w:rFonts w:ascii="Times New Roman" w:hAnsi="Times New Roman"/>
          <w:sz w:val="28"/>
          <w:szCs w:val="28"/>
        </w:rPr>
        <w:t xml:space="preserve"> </w:t>
      </w:r>
      <w:r w:rsidR="00094F0F" w:rsidRPr="0072162B">
        <w:rPr>
          <w:rFonts w:ascii="Times New Roman" w:hAnsi="Times New Roman"/>
          <w:sz w:val="28"/>
          <w:szCs w:val="28"/>
        </w:rPr>
        <w:t>“təshih tədbirləri”nin mahiyyətinə aydınlıq gətirilməsini vacib hesab edir.</w:t>
      </w:r>
    </w:p>
    <w:p w:rsidR="00FB0412" w:rsidRPr="0072162B" w:rsidRDefault="00D609C7"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“Banklar haqqında” Qanunun </w:t>
      </w:r>
      <w:r w:rsidR="00E61E46" w:rsidRPr="0072162B">
        <w:rPr>
          <w:rFonts w:ascii="Times New Roman" w:hAnsi="Times New Roman"/>
          <w:sz w:val="28"/>
          <w:szCs w:val="28"/>
        </w:rPr>
        <w:t xml:space="preserve">47.1-ci maddəsinə </w:t>
      </w:r>
      <w:r w:rsidR="008125EF" w:rsidRPr="0072162B">
        <w:rPr>
          <w:rFonts w:ascii="Times New Roman" w:hAnsi="Times New Roman"/>
          <w:sz w:val="28"/>
          <w:szCs w:val="28"/>
        </w:rPr>
        <w:t xml:space="preserve">uyğun olaraq, </w:t>
      </w:r>
      <w:r w:rsidR="00E61E46" w:rsidRPr="0072162B">
        <w:rPr>
          <w:rFonts w:ascii="Times New Roman" w:hAnsi="Times New Roman"/>
          <w:sz w:val="28"/>
          <w:szCs w:val="28"/>
        </w:rPr>
        <w:t>bank tərəfindən prudensial normativlərin və tələblərin pozulmasına, onun fəaliyyətinin bu Qanunun, “Cinayət yolu ilə əldə edilmiş pul vəsaitlərinin və ya digər əmlakın leqallaşdırılmasına və terrorçuluğun maliyyələşdirilməsinə qarşı mübarizə haqqında” Azərbaycan Respublikası Qanununun və maliyyə bazarlarına nəzarət orqanının normativ xarakterli aktlarının tələbləri pozulmaqla həyata keçirilməsinə, maliyyə bazarlarına nəzarət orqanının verdiyi lisenziyaya və icazəyə daxil edilmiş məhdudiyyətlərin pozulmasına yol verdiyini müəyyən etdikdə, yaxud bu cür pozuntulara səbəb ola biləcək əsaslar aşkar etdikdə pozuntunun xarakterindən asılı olaraq maliyyə bazarlarına nəzarət orqanının banka təsir tədbirlərini tətbiq etmək hüququ vardır</w:t>
      </w:r>
      <w:r w:rsidR="008B01D5" w:rsidRPr="0072162B">
        <w:rPr>
          <w:rFonts w:ascii="Times New Roman" w:hAnsi="Times New Roman"/>
          <w:sz w:val="28"/>
          <w:szCs w:val="28"/>
        </w:rPr>
        <w:t>.</w:t>
      </w:r>
    </w:p>
    <w:p w:rsidR="00130EBB" w:rsidRPr="0072162B" w:rsidRDefault="001247C1"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Həmin  </w:t>
      </w:r>
      <w:r w:rsidR="00E7280E" w:rsidRPr="0072162B">
        <w:rPr>
          <w:rFonts w:ascii="Times New Roman" w:hAnsi="Times New Roman"/>
          <w:sz w:val="28"/>
          <w:szCs w:val="28"/>
        </w:rPr>
        <w:t>Qanunun 47.4-cü maddəsinə görə</w:t>
      </w:r>
      <w:r w:rsidR="008125EF" w:rsidRPr="0072162B">
        <w:rPr>
          <w:rFonts w:ascii="Times New Roman" w:hAnsi="Times New Roman"/>
          <w:sz w:val="28"/>
          <w:szCs w:val="28"/>
        </w:rPr>
        <w:t>,</w:t>
      </w:r>
      <w:r w:rsidR="00E7280E" w:rsidRPr="0072162B">
        <w:rPr>
          <w:rFonts w:ascii="Times New Roman" w:hAnsi="Times New Roman"/>
          <w:sz w:val="28"/>
          <w:szCs w:val="28"/>
        </w:rPr>
        <w:t xml:space="preserve"> </w:t>
      </w:r>
      <w:r w:rsidR="00130EBB" w:rsidRPr="0072162B">
        <w:rPr>
          <w:rFonts w:ascii="Times New Roman" w:hAnsi="Times New Roman"/>
          <w:sz w:val="28"/>
          <w:szCs w:val="28"/>
        </w:rPr>
        <w:t xml:space="preserve">maliyyə bazarlarına nəzarət orqanının banka icrası məcburi olan sərəncamında bu Qanunun 48-ci maddəsində göstərilmiş təshih tədbirlərinin həyata keçirilməsi və çatışmazlıqların aradan qaldırılması müddətləri barədə banka yazılı göstəriş verilir. Bankın maliyyə vəziyyətinin sağlamlaşdırılmasına </w:t>
      </w:r>
      <w:r w:rsidR="00130EBB" w:rsidRPr="0072162B">
        <w:rPr>
          <w:rFonts w:ascii="Times New Roman" w:hAnsi="Times New Roman"/>
          <w:sz w:val="28"/>
          <w:szCs w:val="28"/>
        </w:rPr>
        <w:lastRenderedPageBreak/>
        <w:t>yönəldilən təshih tədbirləri tətbiq edildikdə, bank verilən sərəncama müvafiq olaraq tədbirin həyata keçirilməsi planını iki həftə müddətində maliyyə bazarlarına nəzarət orqanına təqdim edir.</w:t>
      </w:r>
    </w:p>
    <w:p w:rsidR="00E7280E" w:rsidRPr="0072162B" w:rsidRDefault="00130EBB" w:rsidP="0072162B">
      <w:pPr>
        <w:spacing w:after="0"/>
        <w:ind w:firstLine="567"/>
        <w:jc w:val="both"/>
        <w:rPr>
          <w:rFonts w:ascii="Times New Roman" w:hAnsi="Times New Roman"/>
          <w:sz w:val="28"/>
          <w:szCs w:val="28"/>
        </w:rPr>
      </w:pPr>
      <w:r w:rsidRPr="0072162B">
        <w:rPr>
          <w:rFonts w:ascii="Times New Roman" w:hAnsi="Times New Roman"/>
          <w:sz w:val="28"/>
          <w:szCs w:val="28"/>
        </w:rPr>
        <w:t>Maddənin məzmunundan göründüyü kimi</w:t>
      </w:r>
      <w:r w:rsidR="00B51400" w:rsidRPr="0072162B">
        <w:rPr>
          <w:rFonts w:ascii="Times New Roman" w:hAnsi="Times New Roman"/>
          <w:sz w:val="28"/>
          <w:szCs w:val="28"/>
        </w:rPr>
        <w:t>,</w:t>
      </w:r>
      <w:r w:rsidRPr="0072162B">
        <w:rPr>
          <w:rFonts w:ascii="Times New Roman" w:hAnsi="Times New Roman"/>
          <w:sz w:val="28"/>
          <w:szCs w:val="28"/>
        </w:rPr>
        <w:t xml:space="preserve"> </w:t>
      </w:r>
      <w:r w:rsidR="00E7280E" w:rsidRPr="0072162B">
        <w:rPr>
          <w:rFonts w:ascii="Times New Roman" w:hAnsi="Times New Roman"/>
          <w:sz w:val="28"/>
          <w:szCs w:val="28"/>
        </w:rPr>
        <w:t>təshih</w:t>
      </w:r>
      <w:r w:rsidRPr="0072162B">
        <w:rPr>
          <w:rFonts w:ascii="Times New Roman" w:hAnsi="Times New Roman"/>
          <w:sz w:val="28"/>
          <w:szCs w:val="28"/>
        </w:rPr>
        <w:t xml:space="preserve"> </w:t>
      </w:r>
      <w:r w:rsidR="00B51400" w:rsidRPr="0072162B">
        <w:rPr>
          <w:rFonts w:ascii="Times New Roman" w:hAnsi="Times New Roman"/>
          <w:sz w:val="28"/>
          <w:szCs w:val="28"/>
        </w:rPr>
        <w:t>tədbirinin tətbiqi həmçinin bankların</w:t>
      </w:r>
      <w:r w:rsidR="00E7280E" w:rsidRPr="0072162B">
        <w:rPr>
          <w:rFonts w:ascii="Times New Roman" w:hAnsi="Times New Roman"/>
          <w:sz w:val="28"/>
          <w:szCs w:val="28"/>
        </w:rPr>
        <w:t xml:space="preserve"> maliyyə vəziyyətinin sağlamlaşdırılmasına</w:t>
      </w:r>
      <w:r w:rsidR="00B51400" w:rsidRPr="0072162B">
        <w:rPr>
          <w:rFonts w:ascii="Times New Roman" w:hAnsi="Times New Roman"/>
          <w:sz w:val="28"/>
          <w:szCs w:val="28"/>
        </w:rPr>
        <w:t>, bankın restrukturizasiyası və bərpasına</w:t>
      </w:r>
      <w:r w:rsidR="00E7280E" w:rsidRPr="0072162B">
        <w:rPr>
          <w:rFonts w:ascii="Times New Roman" w:hAnsi="Times New Roman"/>
          <w:sz w:val="28"/>
          <w:szCs w:val="28"/>
        </w:rPr>
        <w:t xml:space="preserve"> yönə</w:t>
      </w:r>
      <w:r w:rsidR="00B51400" w:rsidRPr="0072162B">
        <w:rPr>
          <w:rFonts w:ascii="Times New Roman" w:hAnsi="Times New Roman"/>
          <w:sz w:val="28"/>
          <w:szCs w:val="28"/>
        </w:rPr>
        <w:t>lir</w:t>
      </w:r>
      <w:r w:rsidR="00E7280E" w:rsidRPr="0072162B">
        <w:rPr>
          <w:rFonts w:ascii="Times New Roman" w:hAnsi="Times New Roman"/>
          <w:sz w:val="28"/>
          <w:szCs w:val="28"/>
        </w:rPr>
        <w:t>. “Banklar haqqında” Qanunun 48-ci maddəsində əks olunmuş təshih tə</w:t>
      </w:r>
      <w:r w:rsidR="00B51400" w:rsidRPr="0072162B">
        <w:rPr>
          <w:rFonts w:ascii="Times New Roman" w:hAnsi="Times New Roman"/>
          <w:sz w:val="28"/>
          <w:szCs w:val="28"/>
        </w:rPr>
        <w:t>dbirlərinin</w:t>
      </w:r>
      <w:r w:rsidR="00E7280E" w:rsidRPr="0072162B">
        <w:rPr>
          <w:rFonts w:ascii="Times New Roman" w:hAnsi="Times New Roman"/>
          <w:sz w:val="28"/>
          <w:szCs w:val="28"/>
        </w:rPr>
        <w:t xml:space="preserve"> əsas məqsədi mövcud durumu nəzərə alaraq bankın özünə yeni öhdəliklər yaratmaması, mövcud öhdəliklərinin artırılmaması və həmin öhdəliklərin həcminin azaldılması</w:t>
      </w:r>
      <w:r w:rsidR="00B51400" w:rsidRPr="0072162B">
        <w:rPr>
          <w:rFonts w:ascii="Times New Roman" w:hAnsi="Times New Roman"/>
          <w:sz w:val="28"/>
          <w:szCs w:val="28"/>
        </w:rPr>
        <w:t>dır. Həmin maddəyə görə</w:t>
      </w:r>
      <w:r w:rsidR="008B01D5" w:rsidRPr="0072162B">
        <w:rPr>
          <w:rFonts w:ascii="Times New Roman" w:hAnsi="Times New Roman"/>
          <w:sz w:val="28"/>
          <w:szCs w:val="28"/>
        </w:rPr>
        <w:t>,</w:t>
      </w:r>
      <w:r w:rsidR="00B51400" w:rsidRPr="0072162B">
        <w:rPr>
          <w:rFonts w:ascii="Times New Roman" w:hAnsi="Times New Roman"/>
          <w:sz w:val="28"/>
          <w:szCs w:val="28"/>
        </w:rPr>
        <w:t xml:space="preserve"> m</w:t>
      </w:r>
      <w:r w:rsidR="00E7280E" w:rsidRPr="0072162B">
        <w:rPr>
          <w:rFonts w:ascii="Times New Roman" w:hAnsi="Times New Roman"/>
          <w:sz w:val="28"/>
          <w:szCs w:val="28"/>
        </w:rPr>
        <w:t>aliyyə bazarlarına nəzarət orqanı banka aşağıdakı təshih tədbirlərini tətbiq edə bilər:</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 bank fəaliyyətinin ayrı-ayrı növlərinin həyata keçirilməsinin məhdudlaşdırılması və ya dayandırılması;</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w:t>
      </w:r>
      <w:r w:rsidR="006B7F94" w:rsidRPr="0072162B">
        <w:rPr>
          <w:rFonts w:ascii="Times New Roman" w:hAnsi="Times New Roman"/>
          <w:sz w:val="28"/>
          <w:szCs w:val="28"/>
        </w:rPr>
        <w:t xml:space="preserve"> </w:t>
      </w:r>
      <w:r w:rsidRPr="0072162B">
        <w:rPr>
          <w:rFonts w:ascii="Times New Roman" w:hAnsi="Times New Roman"/>
          <w:sz w:val="28"/>
          <w:szCs w:val="28"/>
        </w:rPr>
        <w:t>inzibatçıların vəzifələrindən müvəqqəti kənarlaşdırılması;</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w:t>
      </w:r>
      <w:r w:rsidR="006B7F94" w:rsidRPr="0072162B">
        <w:rPr>
          <w:rFonts w:ascii="Times New Roman" w:hAnsi="Times New Roman"/>
          <w:sz w:val="28"/>
          <w:szCs w:val="28"/>
        </w:rPr>
        <w:t xml:space="preserve"> </w:t>
      </w:r>
      <w:r w:rsidRPr="0072162B">
        <w:rPr>
          <w:rFonts w:ascii="Times New Roman" w:hAnsi="Times New Roman"/>
          <w:sz w:val="28"/>
          <w:szCs w:val="28"/>
        </w:rPr>
        <w:t>banka aidiyyəti olan şəxslərlə bank əməliyyatlarının və əqdlərin həyata keçirilməsinin dayandırılması;</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 depozitlərin qəbul edilməsinin məhd</w:t>
      </w:r>
      <w:r w:rsidR="00FB0412" w:rsidRPr="0072162B">
        <w:rPr>
          <w:rFonts w:ascii="Times New Roman" w:hAnsi="Times New Roman"/>
          <w:sz w:val="28"/>
          <w:szCs w:val="28"/>
        </w:rPr>
        <w:t>udlaşdırılması</w:t>
      </w:r>
      <w:r w:rsidRPr="0072162B">
        <w:rPr>
          <w:rFonts w:ascii="Times New Roman" w:hAnsi="Times New Roman"/>
          <w:sz w:val="28"/>
          <w:szCs w:val="28"/>
        </w:rPr>
        <w:t>;</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 maliyyə güzəştlərinin verilməsinin dayandırılması  və s.</w:t>
      </w:r>
    </w:p>
    <w:p w:rsidR="00FB0412" w:rsidRPr="0072162B" w:rsidRDefault="00E7280E" w:rsidP="0072162B">
      <w:pPr>
        <w:spacing w:after="0"/>
        <w:ind w:firstLine="567"/>
        <w:jc w:val="both"/>
        <w:rPr>
          <w:rFonts w:ascii="Times New Roman" w:hAnsi="Times New Roman"/>
          <w:sz w:val="28"/>
          <w:szCs w:val="28"/>
        </w:rPr>
      </w:pPr>
      <w:r w:rsidRPr="0072162B">
        <w:rPr>
          <w:rFonts w:ascii="Times New Roman" w:hAnsi="Times New Roman"/>
          <w:sz w:val="28"/>
          <w:szCs w:val="28"/>
        </w:rPr>
        <w:t>Onu da qeyd etmək lazımdır ki, “Əmanətlərin Sığort</w:t>
      </w:r>
      <w:r w:rsidR="001F00F8" w:rsidRPr="0072162B">
        <w:rPr>
          <w:rFonts w:ascii="Times New Roman" w:hAnsi="Times New Roman"/>
          <w:sz w:val="28"/>
          <w:szCs w:val="28"/>
        </w:rPr>
        <w:t>alanması haqqında” Qanunun 13.2, 14.3,</w:t>
      </w:r>
      <w:r w:rsidRPr="0072162B">
        <w:rPr>
          <w:rFonts w:ascii="Times New Roman" w:hAnsi="Times New Roman"/>
          <w:sz w:val="28"/>
          <w:szCs w:val="28"/>
        </w:rPr>
        <w:t xml:space="preserve"> 21</w:t>
      </w:r>
      <w:r w:rsidR="001F00F8" w:rsidRPr="0072162B">
        <w:rPr>
          <w:rFonts w:ascii="Times New Roman" w:hAnsi="Times New Roman"/>
          <w:sz w:val="28"/>
          <w:szCs w:val="28"/>
        </w:rPr>
        <w:t>.4.4, 21.6, 22.3.2, 27.13 və</w:t>
      </w:r>
      <w:r w:rsidRPr="0072162B">
        <w:rPr>
          <w:rFonts w:ascii="Times New Roman" w:hAnsi="Times New Roman"/>
          <w:sz w:val="28"/>
          <w:szCs w:val="28"/>
        </w:rPr>
        <w:t xml:space="preserve"> 30.2-ci maddələrində də Maliyyə Bazarlarına Nəzarət Palata</w:t>
      </w:r>
      <w:r w:rsidR="00D609C7" w:rsidRPr="0072162B">
        <w:rPr>
          <w:rFonts w:ascii="Times New Roman" w:hAnsi="Times New Roman"/>
          <w:sz w:val="28"/>
          <w:szCs w:val="28"/>
        </w:rPr>
        <w:t>sı</w:t>
      </w:r>
      <w:r w:rsidRPr="0072162B">
        <w:rPr>
          <w:rFonts w:ascii="Times New Roman" w:hAnsi="Times New Roman"/>
          <w:sz w:val="28"/>
          <w:szCs w:val="28"/>
        </w:rPr>
        <w:t>nın iştirakçı bankın əmanətləri cəlb etmək hüququnun dayandırılması səlahiyyəti öz əksini tapmışdır. Burada d</w:t>
      </w:r>
      <w:r w:rsidR="00F87A5C" w:rsidRPr="0072162B">
        <w:rPr>
          <w:rFonts w:ascii="Times New Roman" w:hAnsi="Times New Roman"/>
          <w:sz w:val="28"/>
          <w:szCs w:val="28"/>
        </w:rPr>
        <w:t>a</w:t>
      </w:r>
      <w:r w:rsidRPr="0072162B">
        <w:rPr>
          <w:rFonts w:ascii="Times New Roman" w:hAnsi="Times New Roman"/>
          <w:sz w:val="28"/>
          <w:szCs w:val="28"/>
        </w:rPr>
        <w:t xml:space="preserve"> qanunvericiliyin əsas məqsədi bankın özünə yeni öhdəliklər yaratmaması və ya mövcud öhdəliklə</w:t>
      </w:r>
      <w:r w:rsidR="00D609C7" w:rsidRPr="0072162B">
        <w:rPr>
          <w:rFonts w:ascii="Times New Roman" w:hAnsi="Times New Roman"/>
          <w:sz w:val="28"/>
          <w:szCs w:val="28"/>
        </w:rPr>
        <w:t>rin</w:t>
      </w:r>
      <w:r w:rsidRPr="0072162B">
        <w:rPr>
          <w:rFonts w:ascii="Times New Roman" w:hAnsi="Times New Roman"/>
          <w:sz w:val="28"/>
          <w:szCs w:val="28"/>
        </w:rPr>
        <w:t xml:space="preserve"> həcminin artırılmaması</w:t>
      </w:r>
      <w:r w:rsidR="00F87A5C" w:rsidRPr="0072162B">
        <w:rPr>
          <w:rFonts w:ascii="Times New Roman" w:hAnsi="Times New Roman"/>
          <w:sz w:val="28"/>
          <w:szCs w:val="28"/>
        </w:rPr>
        <w:t>dır.</w:t>
      </w:r>
    </w:p>
    <w:p w:rsidR="00FB0412" w:rsidRPr="0072162B" w:rsidRDefault="004B2775" w:rsidP="0072162B">
      <w:pPr>
        <w:spacing w:after="0"/>
        <w:ind w:firstLine="567"/>
        <w:jc w:val="both"/>
        <w:rPr>
          <w:rFonts w:ascii="Times New Roman" w:hAnsi="Times New Roman"/>
          <w:sz w:val="28"/>
          <w:szCs w:val="28"/>
        </w:rPr>
      </w:pPr>
      <w:r w:rsidRPr="0072162B">
        <w:rPr>
          <w:rFonts w:ascii="Times New Roman" w:hAnsi="Times New Roman"/>
          <w:sz w:val="28"/>
          <w:szCs w:val="28"/>
        </w:rPr>
        <w:t>Qanunvericiliyin tələbinə görə</w:t>
      </w:r>
      <w:r w:rsidR="008B01D5" w:rsidRPr="0072162B">
        <w:rPr>
          <w:rFonts w:ascii="Times New Roman" w:hAnsi="Times New Roman"/>
          <w:sz w:val="28"/>
          <w:szCs w:val="28"/>
        </w:rPr>
        <w:t>,</w:t>
      </w:r>
      <w:r w:rsidRPr="0072162B">
        <w:rPr>
          <w:rFonts w:ascii="Times New Roman" w:hAnsi="Times New Roman"/>
          <w:sz w:val="28"/>
          <w:szCs w:val="28"/>
        </w:rPr>
        <w:t xml:space="preserve"> </w:t>
      </w:r>
      <w:r w:rsidR="00F87A5C" w:rsidRPr="0072162B">
        <w:rPr>
          <w:rFonts w:ascii="Times New Roman" w:hAnsi="Times New Roman"/>
          <w:sz w:val="28"/>
          <w:szCs w:val="28"/>
        </w:rPr>
        <w:t xml:space="preserve">Maliyyə Bazarlarına Nəzarət </w:t>
      </w:r>
      <w:r w:rsidRPr="0072162B">
        <w:rPr>
          <w:rFonts w:ascii="Times New Roman" w:hAnsi="Times New Roman"/>
          <w:sz w:val="28"/>
          <w:szCs w:val="28"/>
        </w:rPr>
        <w:t>Palata</w:t>
      </w:r>
      <w:r w:rsidR="00F87A5C" w:rsidRPr="0072162B">
        <w:rPr>
          <w:rFonts w:ascii="Times New Roman" w:hAnsi="Times New Roman"/>
          <w:sz w:val="28"/>
          <w:szCs w:val="28"/>
        </w:rPr>
        <w:t>sı</w:t>
      </w:r>
      <w:r w:rsidR="00D609C7" w:rsidRPr="0072162B">
        <w:rPr>
          <w:rFonts w:ascii="Times New Roman" w:hAnsi="Times New Roman"/>
          <w:sz w:val="28"/>
          <w:szCs w:val="28"/>
        </w:rPr>
        <w:t>nın</w:t>
      </w:r>
      <w:r w:rsidRPr="0072162B">
        <w:rPr>
          <w:rFonts w:ascii="Times New Roman" w:hAnsi="Times New Roman"/>
          <w:sz w:val="28"/>
          <w:szCs w:val="28"/>
        </w:rPr>
        <w:t xml:space="preserve"> maliyyə bazarlarına nəzarət orqanı olaraq banka tətbiq etdiyi təshih tədbiri ilə funksiyası bitmiş sayılm</w:t>
      </w:r>
      <w:r w:rsidR="00D609C7" w:rsidRPr="0072162B">
        <w:rPr>
          <w:rFonts w:ascii="Times New Roman" w:hAnsi="Times New Roman"/>
          <w:sz w:val="28"/>
          <w:szCs w:val="28"/>
        </w:rPr>
        <w:t>amalı</w:t>
      </w:r>
      <w:r w:rsidRPr="0072162B">
        <w:rPr>
          <w:rFonts w:ascii="Times New Roman" w:hAnsi="Times New Roman"/>
          <w:sz w:val="28"/>
          <w:szCs w:val="28"/>
        </w:rPr>
        <w:t xml:space="preserve"> və bu tədbirlər</w:t>
      </w:r>
      <w:r w:rsidR="00D609C7" w:rsidRPr="0072162B">
        <w:rPr>
          <w:rFonts w:ascii="Times New Roman" w:hAnsi="Times New Roman"/>
          <w:sz w:val="28"/>
          <w:szCs w:val="28"/>
        </w:rPr>
        <w:t>ə</w:t>
      </w:r>
      <w:r w:rsidRPr="0072162B">
        <w:rPr>
          <w:rFonts w:ascii="Times New Roman" w:hAnsi="Times New Roman"/>
          <w:sz w:val="28"/>
          <w:szCs w:val="28"/>
        </w:rPr>
        <w:t xml:space="preserve"> bank tərəfindən əməl olunmasına da nəzarəti həyata keçirməlidir.</w:t>
      </w:r>
    </w:p>
    <w:p w:rsidR="00FB0412" w:rsidRPr="0072162B" w:rsidRDefault="004B277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Belə ki, Maliyyə Bazarlarına Nəzarət Palatasının Nizamnaməsinin 1.1-ci maddəsinə </w:t>
      </w:r>
      <w:r w:rsidR="008B01D5" w:rsidRPr="0072162B">
        <w:rPr>
          <w:rFonts w:ascii="Times New Roman" w:hAnsi="Times New Roman"/>
          <w:sz w:val="28"/>
          <w:szCs w:val="28"/>
        </w:rPr>
        <w:t xml:space="preserve">uyğun olaraq, </w:t>
      </w:r>
      <w:r w:rsidRPr="0072162B">
        <w:rPr>
          <w:rFonts w:ascii="Times New Roman" w:hAnsi="Times New Roman"/>
          <w:sz w:val="28"/>
          <w:szCs w:val="28"/>
        </w:rPr>
        <w:t>Palata qiymətli kağızlar bazarı, investisiya fondları, sığorta, kredit təşkilatları (bank, bank olmayan kredit təşkilatları və poçt rabitəsinin operatoru) və ödəniş sistemləri sahəsində fəaliyyətin lisenziyalaşdırılması, tənzimlənməsi və ona nəzarət, habelə cinayət yolu ilə əldə edilmiş pul vəsaitlərinin və ya digər əmlakın leqallaşdırılması və terrorçuluğun maliyyələşdirilməsinin qarşısının alınması sahəsində nəzarət sisteminin təkmilləşdirilməsini, həmçinin maliyyə bazarları üzrə nəzarət sisteminin şəffaflığını və çevikliyini təmin etmək məqsədi ilə yaradılmışdır.</w:t>
      </w:r>
    </w:p>
    <w:p w:rsidR="00FB0412" w:rsidRPr="0072162B" w:rsidRDefault="00F406D6"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Həmin </w:t>
      </w:r>
      <w:r w:rsidR="004B2775" w:rsidRPr="0072162B">
        <w:rPr>
          <w:rFonts w:ascii="Times New Roman" w:hAnsi="Times New Roman"/>
          <w:sz w:val="28"/>
          <w:szCs w:val="28"/>
        </w:rPr>
        <w:t>Nizamnamə</w:t>
      </w:r>
      <w:r w:rsidR="002E0F9D" w:rsidRPr="0072162B">
        <w:rPr>
          <w:rFonts w:ascii="Times New Roman" w:hAnsi="Times New Roman"/>
          <w:sz w:val="28"/>
          <w:szCs w:val="28"/>
        </w:rPr>
        <w:t xml:space="preserve">nin 2.2.5 və 2.2.7-ci bəndlərinə </w:t>
      </w:r>
      <w:r w:rsidR="004B2775" w:rsidRPr="0072162B">
        <w:rPr>
          <w:rFonts w:ascii="Times New Roman" w:hAnsi="Times New Roman"/>
          <w:sz w:val="28"/>
          <w:szCs w:val="28"/>
        </w:rPr>
        <w:t>əsasən</w:t>
      </w:r>
      <w:r w:rsidR="002E0F9D" w:rsidRPr="0072162B">
        <w:rPr>
          <w:rFonts w:ascii="Times New Roman" w:hAnsi="Times New Roman"/>
          <w:sz w:val="28"/>
          <w:szCs w:val="28"/>
        </w:rPr>
        <w:t>,</w:t>
      </w:r>
      <w:r w:rsidR="004B2775" w:rsidRPr="0072162B">
        <w:rPr>
          <w:rFonts w:ascii="Times New Roman" w:hAnsi="Times New Roman"/>
          <w:sz w:val="28"/>
          <w:szCs w:val="28"/>
        </w:rPr>
        <w:t xml:space="preserve"> maliyyə bazarlarında davamlı və hərtərəfli nəzarətin həyata keçirilməsi, yoxlamalar aparılması və ya bu yoxlamaların keçirilməsinin üçüncü şəxslərə həvalə edilməsi, hesabatların alınması </w:t>
      </w:r>
      <w:r w:rsidR="002E0F9D" w:rsidRPr="0072162B">
        <w:rPr>
          <w:rFonts w:ascii="Times New Roman" w:hAnsi="Times New Roman"/>
          <w:sz w:val="28"/>
          <w:szCs w:val="28"/>
        </w:rPr>
        <w:t xml:space="preserve">və </w:t>
      </w:r>
      <w:r w:rsidR="004B2775" w:rsidRPr="0072162B">
        <w:rPr>
          <w:rFonts w:ascii="Times New Roman" w:hAnsi="Times New Roman"/>
          <w:sz w:val="28"/>
          <w:szCs w:val="28"/>
        </w:rPr>
        <w:lastRenderedPageBreak/>
        <w:t xml:space="preserve">əmanətlərin sığortalanması sahəsində nəzarət sisteminin fəaliyyətinin təmin edilməsi </w:t>
      </w:r>
      <w:r w:rsidR="002E0F9D" w:rsidRPr="0072162B">
        <w:rPr>
          <w:rFonts w:ascii="Times New Roman" w:hAnsi="Times New Roman"/>
          <w:sz w:val="28"/>
          <w:szCs w:val="28"/>
        </w:rPr>
        <w:t>Palatanın fəaliyyət istiqamətlərinə</w:t>
      </w:r>
      <w:r w:rsidR="004B2775" w:rsidRPr="0072162B">
        <w:rPr>
          <w:rFonts w:ascii="Times New Roman" w:hAnsi="Times New Roman"/>
          <w:sz w:val="28"/>
          <w:szCs w:val="28"/>
        </w:rPr>
        <w:t xml:space="preserve"> daxildir.</w:t>
      </w:r>
    </w:p>
    <w:p w:rsidR="00FB0412" w:rsidRPr="0072162B" w:rsidRDefault="004B277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Nizamnamənin 3.2.3-cü bəndinə </w:t>
      </w:r>
      <w:r w:rsidR="00A5026C" w:rsidRPr="0072162B">
        <w:rPr>
          <w:rFonts w:ascii="Times New Roman" w:hAnsi="Times New Roman"/>
          <w:sz w:val="28"/>
          <w:szCs w:val="28"/>
        </w:rPr>
        <w:t>müvafiq olaraq</w:t>
      </w:r>
      <w:r w:rsidR="002E0F9D" w:rsidRPr="0072162B">
        <w:rPr>
          <w:rFonts w:ascii="Times New Roman" w:hAnsi="Times New Roman"/>
          <w:sz w:val="28"/>
          <w:szCs w:val="28"/>
        </w:rPr>
        <w:t>,</w:t>
      </w:r>
      <w:r w:rsidRPr="0072162B">
        <w:rPr>
          <w:rFonts w:ascii="Times New Roman" w:hAnsi="Times New Roman"/>
          <w:sz w:val="28"/>
          <w:szCs w:val="28"/>
        </w:rPr>
        <w:t xml:space="preserve"> Palata nəzarət etdiyi subyektlərin sağlamlaşdırılması sahəsində tədbirlər planı hazırlayır, onun icrasını əlaqələndirir və icrasına nəzarət edir.</w:t>
      </w:r>
    </w:p>
    <w:p w:rsidR="00FB0412" w:rsidRPr="0072162B" w:rsidRDefault="004B277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Bununla yanaşı, “Banklar haqqında” Qanunun 43-cü maddəsinə </w:t>
      </w:r>
      <w:r w:rsidR="00A5026C" w:rsidRPr="0072162B">
        <w:rPr>
          <w:rFonts w:ascii="Times New Roman" w:hAnsi="Times New Roman"/>
          <w:sz w:val="28"/>
          <w:szCs w:val="28"/>
        </w:rPr>
        <w:t>görə,</w:t>
      </w:r>
      <w:r w:rsidRPr="0072162B">
        <w:rPr>
          <w:rFonts w:ascii="Times New Roman" w:hAnsi="Times New Roman"/>
          <w:sz w:val="28"/>
          <w:szCs w:val="28"/>
        </w:rPr>
        <w:t xml:space="preserve"> banklar bank fəaliyyətlərini və maliyyə vəziyyətini əks etdirən hesabatları, o cümlədən illik maliyyə hesabatları tərtib etməli</w:t>
      </w:r>
      <w:r w:rsidR="00D609C7" w:rsidRPr="0072162B">
        <w:rPr>
          <w:rFonts w:ascii="Times New Roman" w:hAnsi="Times New Roman"/>
          <w:sz w:val="28"/>
          <w:szCs w:val="28"/>
        </w:rPr>
        <w:t>,</w:t>
      </w:r>
      <w:r w:rsidRPr="0072162B">
        <w:rPr>
          <w:rFonts w:ascii="Times New Roman" w:hAnsi="Times New Roman"/>
          <w:sz w:val="28"/>
          <w:szCs w:val="28"/>
        </w:rPr>
        <w:t xml:space="preserve"> Palataya və Mərkəzi Banka təqdim etməlidirlər. Həmin Qanunun 44-cü maddəsinə </w:t>
      </w:r>
      <w:r w:rsidR="00D01844" w:rsidRPr="0072162B">
        <w:rPr>
          <w:rFonts w:ascii="Times New Roman" w:hAnsi="Times New Roman"/>
          <w:sz w:val="28"/>
          <w:szCs w:val="28"/>
        </w:rPr>
        <w:t>müvafiq olaraq</w:t>
      </w:r>
      <w:r w:rsidR="00A5026C" w:rsidRPr="0072162B">
        <w:rPr>
          <w:rFonts w:ascii="Times New Roman" w:hAnsi="Times New Roman"/>
          <w:sz w:val="28"/>
          <w:szCs w:val="28"/>
        </w:rPr>
        <w:t>,</w:t>
      </w:r>
      <w:r w:rsidRPr="0072162B">
        <w:rPr>
          <w:rFonts w:ascii="Times New Roman" w:hAnsi="Times New Roman"/>
          <w:sz w:val="28"/>
          <w:szCs w:val="28"/>
        </w:rPr>
        <w:t xml:space="preserve"> bankın maliyyə fəaliyyəti hər il kənar auditor tərəfindən yoxlanılmalıdır. Kənar auditor həmçinin bankın maliyyə hesabat</w:t>
      </w:r>
      <w:r w:rsidR="00D609C7" w:rsidRPr="0072162B">
        <w:rPr>
          <w:rFonts w:ascii="Times New Roman" w:hAnsi="Times New Roman"/>
          <w:sz w:val="28"/>
          <w:szCs w:val="28"/>
        </w:rPr>
        <w:t>ı</w:t>
      </w:r>
      <w:r w:rsidRPr="0072162B">
        <w:rPr>
          <w:rFonts w:ascii="Times New Roman" w:hAnsi="Times New Roman"/>
          <w:sz w:val="28"/>
          <w:szCs w:val="28"/>
        </w:rPr>
        <w:t>nın onun maliyyə vəziyyəti haqqında tam və obyektiv təsəvvür yaradıb-yaratma</w:t>
      </w:r>
      <w:r w:rsidR="00D609C7" w:rsidRPr="0072162B">
        <w:rPr>
          <w:rFonts w:ascii="Times New Roman" w:hAnsi="Times New Roman"/>
          <w:sz w:val="28"/>
          <w:szCs w:val="28"/>
        </w:rPr>
        <w:t>ması</w:t>
      </w:r>
      <w:r w:rsidRPr="0072162B">
        <w:rPr>
          <w:rFonts w:ascii="Times New Roman" w:hAnsi="Times New Roman"/>
          <w:sz w:val="28"/>
          <w:szCs w:val="28"/>
        </w:rPr>
        <w:t xml:space="preserve"> barədə hesabat və rəy hazırlayır, inzibatçının və ya hər hansı əməkdaşın banka mühüm zərər vuran və ona məlum olan qanunsuz hərəkətləri barədə, habelə idarəetmədə və ya cari fəaliyyətində</w:t>
      </w:r>
      <w:r w:rsidR="00F406D6" w:rsidRPr="0072162B">
        <w:rPr>
          <w:rFonts w:ascii="Times New Roman" w:hAnsi="Times New Roman"/>
          <w:sz w:val="28"/>
          <w:szCs w:val="28"/>
        </w:rPr>
        <w:t xml:space="preserve"> çatışmazlıqlar haqqında</w:t>
      </w:r>
      <w:r w:rsidR="00D609C7" w:rsidRPr="0072162B">
        <w:rPr>
          <w:rFonts w:ascii="Times New Roman" w:hAnsi="Times New Roman"/>
          <w:sz w:val="28"/>
          <w:szCs w:val="28"/>
        </w:rPr>
        <w:t xml:space="preserve"> </w:t>
      </w:r>
      <w:r w:rsidRPr="0072162B">
        <w:rPr>
          <w:rFonts w:ascii="Times New Roman" w:hAnsi="Times New Roman"/>
          <w:sz w:val="28"/>
          <w:szCs w:val="28"/>
        </w:rPr>
        <w:t xml:space="preserve">məlumat verir. </w:t>
      </w:r>
      <w:r w:rsidR="00D01844" w:rsidRPr="0072162B">
        <w:rPr>
          <w:rFonts w:ascii="Times New Roman" w:hAnsi="Times New Roman"/>
          <w:sz w:val="28"/>
          <w:szCs w:val="28"/>
        </w:rPr>
        <w:t xml:space="preserve">Həmin </w:t>
      </w:r>
      <w:r w:rsidRPr="0072162B">
        <w:rPr>
          <w:rFonts w:ascii="Times New Roman" w:hAnsi="Times New Roman"/>
          <w:sz w:val="28"/>
          <w:szCs w:val="28"/>
        </w:rPr>
        <w:t>Qanunun 46</w:t>
      </w:r>
      <w:r w:rsidR="00760F00" w:rsidRPr="0072162B">
        <w:rPr>
          <w:rFonts w:ascii="Times New Roman" w:hAnsi="Times New Roman"/>
          <w:sz w:val="28"/>
          <w:szCs w:val="28"/>
        </w:rPr>
        <w:t>.2-ci</w:t>
      </w:r>
      <w:r w:rsidRPr="0072162B">
        <w:rPr>
          <w:rFonts w:ascii="Times New Roman" w:hAnsi="Times New Roman"/>
          <w:sz w:val="28"/>
          <w:szCs w:val="28"/>
        </w:rPr>
        <w:t xml:space="preserve"> maddəsinə görə</w:t>
      </w:r>
      <w:r w:rsidR="00F406D6" w:rsidRPr="0072162B">
        <w:rPr>
          <w:rFonts w:ascii="Times New Roman" w:hAnsi="Times New Roman"/>
          <w:sz w:val="28"/>
          <w:szCs w:val="28"/>
        </w:rPr>
        <w:t>,</w:t>
      </w:r>
      <w:r w:rsidRPr="0072162B">
        <w:rPr>
          <w:rFonts w:ascii="Times New Roman" w:hAnsi="Times New Roman"/>
          <w:sz w:val="28"/>
          <w:szCs w:val="28"/>
        </w:rPr>
        <w:t xml:space="preserve"> </w:t>
      </w:r>
      <w:r w:rsidR="00F406D6" w:rsidRPr="0072162B">
        <w:rPr>
          <w:rFonts w:ascii="Times New Roman" w:hAnsi="Times New Roman"/>
          <w:sz w:val="28"/>
          <w:szCs w:val="28"/>
        </w:rPr>
        <w:t>b</w:t>
      </w:r>
      <w:r w:rsidRPr="0072162B">
        <w:rPr>
          <w:rFonts w:ascii="Times New Roman" w:hAnsi="Times New Roman"/>
          <w:sz w:val="28"/>
          <w:szCs w:val="28"/>
        </w:rPr>
        <w:t>anklar Palatanın inspektorları və ya Palata tərəfindən təyin edilən kənar auditorlar tərəfindən ildə bir dəfə yoxlanılır.</w:t>
      </w:r>
    </w:p>
    <w:p w:rsidR="00760F00" w:rsidRPr="0072162B" w:rsidRDefault="004B2775" w:rsidP="0072162B">
      <w:pPr>
        <w:spacing w:after="0"/>
        <w:ind w:firstLine="567"/>
        <w:jc w:val="both"/>
        <w:rPr>
          <w:rFonts w:ascii="Times New Roman" w:hAnsi="Times New Roman"/>
          <w:sz w:val="28"/>
          <w:szCs w:val="28"/>
        </w:rPr>
      </w:pPr>
      <w:r w:rsidRPr="0072162B">
        <w:rPr>
          <w:rFonts w:ascii="Times New Roman" w:hAnsi="Times New Roman"/>
          <w:sz w:val="28"/>
          <w:szCs w:val="28"/>
        </w:rPr>
        <w:t>Həmçinin “Əmanətlərin sığortalanması haqqında” Qanunun 21.5-ci maddəsinə əsasən</w:t>
      </w:r>
      <w:r w:rsidR="00A5026C" w:rsidRPr="0072162B">
        <w:rPr>
          <w:rFonts w:ascii="Times New Roman" w:hAnsi="Times New Roman"/>
          <w:sz w:val="28"/>
          <w:szCs w:val="28"/>
        </w:rPr>
        <w:t>,</w:t>
      </w:r>
      <w:r w:rsidRPr="0072162B">
        <w:rPr>
          <w:rFonts w:ascii="Times New Roman" w:hAnsi="Times New Roman"/>
          <w:sz w:val="28"/>
          <w:szCs w:val="28"/>
        </w:rPr>
        <w:t xml:space="preserve"> </w:t>
      </w:r>
      <w:r w:rsidR="00760F00" w:rsidRPr="0072162B">
        <w:rPr>
          <w:rFonts w:ascii="Times New Roman" w:hAnsi="Times New Roman"/>
          <w:sz w:val="28"/>
          <w:szCs w:val="28"/>
        </w:rPr>
        <w:t>maliyyə bazarlarına nəzarət orqanı iştirakçı banklar üzərində nəzarət funksiyalarını həyata keçirərkən, onların Fonda ödədikləri sığorta haqlarının hesablanması, əmanətçilərin ümumiləşdirilmiş uçotunun aparılması vəziyyətini yoxlayır və iştirakçı bankların Fond qarşısında bu qanunla müəyyən olunmuş öhdəliklərini yerinə yetirmədiklərini aşkar etdikdə, pozuntuların aradan qaldırılması və düzgün hesablanmamış sığorta haqlarının ödənilməsi barədə həmin banka göstəriş verərək, bu haqda Fonda məlumat verir.</w:t>
      </w:r>
    </w:p>
    <w:p w:rsidR="00FB0412" w:rsidRPr="0072162B" w:rsidRDefault="001930F8" w:rsidP="0072162B">
      <w:pPr>
        <w:spacing w:after="0"/>
        <w:ind w:firstLine="567"/>
        <w:jc w:val="both"/>
        <w:rPr>
          <w:rFonts w:ascii="Times New Roman" w:hAnsi="Times New Roman"/>
          <w:sz w:val="28"/>
          <w:szCs w:val="28"/>
        </w:rPr>
      </w:pPr>
      <w:r w:rsidRPr="0072162B">
        <w:rPr>
          <w:rFonts w:ascii="Times New Roman" w:hAnsi="Times New Roman"/>
          <w:sz w:val="28"/>
          <w:szCs w:val="28"/>
        </w:rPr>
        <w:t>Konstitusiya Məhkəməsinin Plenumu xüsusi olaraq qeyd edir ki, banklara qarşı tətbiq edilən təshih tədbirləri ictimaiyyətin nəzərinə</w:t>
      </w:r>
      <w:r w:rsidR="00A5026C" w:rsidRPr="0072162B">
        <w:rPr>
          <w:rFonts w:ascii="Times New Roman" w:hAnsi="Times New Roman"/>
          <w:sz w:val="28"/>
          <w:szCs w:val="28"/>
        </w:rPr>
        <w:t xml:space="preserve"> çatdırılmalı və</w:t>
      </w:r>
      <w:r w:rsidRPr="0072162B">
        <w:rPr>
          <w:rFonts w:ascii="Times New Roman" w:hAnsi="Times New Roman"/>
          <w:sz w:val="28"/>
          <w:szCs w:val="28"/>
        </w:rPr>
        <w:t xml:space="preserve"> </w:t>
      </w:r>
      <w:r w:rsidR="00A5026C" w:rsidRPr="0072162B">
        <w:rPr>
          <w:rFonts w:ascii="Times New Roman" w:hAnsi="Times New Roman"/>
          <w:sz w:val="28"/>
          <w:szCs w:val="28"/>
        </w:rPr>
        <w:t>ə</w:t>
      </w:r>
      <w:r w:rsidRPr="0072162B">
        <w:rPr>
          <w:rFonts w:ascii="Times New Roman" w:hAnsi="Times New Roman"/>
          <w:sz w:val="28"/>
          <w:szCs w:val="28"/>
        </w:rPr>
        <w:t>manətçilər həmin tədbirlər barədə məlumatı əldə etmək imkanına malik olmalıdırlar.</w:t>
      </w:r>
    </w:p>
    <w:p w:rsidR="00FB0412" w:rsidRPr="0072162B" w:rsidRDefault="00C151FE"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Qanunun 30.2-ci maddəsinə əsasən</w:t>
      </w:r>
      <w:r w:rsidR="00A5026C" w:rsidRPr="0072162B">
        <w:rPr>
          <w:rFonts w:ascii="Times New Roman" w:hAnsi="Times New Roman"/>
          <w:sz w:val="28"/>
          <w:szCs w:val="28"/>
        </w:rPr>
        <w:t>,</w:t>
      </w:r>
      <w:r w:rsidRPr="0072162B">
        <w:rPr>
          <w:rFonts w:ascii="Times New Roman" w:hAnsi="Times New Roman"/>
          <w:sz w:val="28"/>
          <w:szCs w:val="28"/>
        </w:rPr>
        <w:t xml:space="preserve"> maliyyə bazarlarına nəzarət orqanı iştirakçı bankın fiziki şəxslərdən əmanətləri cəlb etmək hüququnu dayandırdıqda müvafiq qərarın qəbul edildiyi gündən sonrakı iş günündən gec olmayaraq kütləvi informasiya vasitələrində bu barədə elan verir və 3 iş günündən gec olmayaraq bildiriş dərc etdirir.</w:t>
      </w:r>
    </w:p>
    <w:p w:rsidR="00FB0412" w:rsidRPr="0072162B" w:rsidRDefault="00A5026C" w:rsidP="0072162B">
      <w:pPr>
        <w:spacing w:after="0"/>
        <w:ind w:firstLine="567"/>
        <w:jc w:val="both"/>
        <w:rPr>
          <w:rFonts w:ascii="Times New Roman" w:hAnsi="Times New Roman"/>
          <w:sz w:val="28"/>
          <w:szCs w:val="28"/>
        </w:rPr>
      </w:pPr>
      <w:r w:rsidRPr="0072162B">
        <w:rPr>
          <w:rFonts w:ascii="Times New Roman" w:hAnsi="Times New Roman"/>
          <w:sz w:val="28"/>
          <w:szCs w:val="28"/>
        </w:rPr>
        <w:t>Fondun</w:t>
      </w:r>
      <w:r w:rsidR="001930F8" w:rsidRPr="0072162B">
        <w:rPr>
          <w:rFonts w:ascii="Times New Roman" w:hAnsi="Times New Roman"/>
          <w:sz w:val="28"/>
          <w:szCs w:val="28"/>
        </w:rPr>
        <w:t xml:space="preserve"> Himayəçilik Şurasının 2011-ci il </w:t>
      </w:r>
      <w:r w:rsidR="00E7202B" w:rsidRPr="0072162B">
        <w:rPr>
          <w:rFonts w:ascii="Times New Roman" w:hAnsi="Times New Roman"/>
          <w:sz w:val="28"/>
          <w:szCs w:val="28"/>
        </w:rPr>
        <w:t xml:space="preserve">8 iyul </w:t>
      </w:r>
      <w:r w:rsidR="001930F8" w:rsidRPr="0072162B">
        <w:rPr>
          <w:rFonts w:ascii="Times New Roman" w:hAnsi="Times New Roman"/>
          <w:sz w:val="28"/>
          <w:szCs w:val="28"/>
        </w:rPr>
        <w:t xml:space="preserve">tarixli qərarı ilə “İştirakçı banklar tərəfindən əmanətlərin sığortalanmasına dair ictimaiyyətin məlumatlandırılması Qaydaları” təsdiq edilmişdir. Bu qaydalar iştirakçı banklar tərəfindən </w:t>
      </w:r>
      <w:r w:rsidRPr="0072162B">
        <w:rPr>
          <w:rFonts w:ascii="Times New Roman" w:hAnsi="Times New Roman"/>
          <w:sz w:val="28"/>
          <w:szCs w:val="28"/>
        </w:rPr>
        <w:t>Fondun</w:t>
      </w:r>
      <w:r w:rsidR="001930F8" w:rsidRPr="0072162B">
        <w:rPr>
          <w:rFonts w:ascii="Times New Roman" w:hAnsi="Times New Roman"/>
          <w:sz w:val="28"/>
          <w:szCs w:val="28"/>
        </w:rPr>
        <w:t xml:space="preserve"> iştirakçısı olması barədə, əmanətlərin sığortalanması və kompensasiyaların ödənilməsi şərtləri haqqında ictimaiyyətin məlumatlandırılması, həmin məlumatın əmanətçilə</w:t>
      </w:r>
      <w:r w:rsidR="00B620CE" w:rsidRPr="0072162B">
        <w:rPr>
          <w:rFonts w:ascii="Times New Roman" w:hAnsi="Times New Roman"/>
          <w:sz w:val="28"/>
          <w:szCs w:val="28"/>
        </w:rPr>
        <w:t>rin</w:t>
      </w:r>
      <w:r w:rsidR="001930F8" w:rsidRPr="0072162B">
        <w:rPr>
          <w:rFonts w:ascii="Times New Roman" w:hAnsi="Times New Roman"/>
          <w:sz w:val="28"/>
          <w:szCs w:val="28"/>
        </w:rPr>
        <w:t xml:space="preserve"> sərbəst </w:t>
      </w:r>
      <w:r w:rsidR="001930F8" w:rsidRPr="0072162B">
        <w:rPr>
          <w:rFonts w:ascii="Times New Roman" w:hAnsi="Times New Roman"/>
          <w:sz w:val="28"/>
          <w:szCs w:val="28"/>
        </w:rPr>
        <w:lastRenderedPageBreak/>
        <w:t>şəkildə əldə edə biləcəkləri yerlərdə və anlaşıqlı formada yerləşdirilməsi, habelə əmanətçilər tərəfindən müvafiq məlumatın əldə edilməsi üçün onların yazılı və şifahi sorğularının cavablandırılması məsələlərini tənzimləyir.</w:t>
      </w:r>
    </w:p>
    <w:p w:rsidR="00FB0412" w:rsidRPr="0072162B" w:rsidRDefault="00D95436" w:rsidP="0072162B">
      <w:pPr>
        <w:spacing w:after="0"/>
        <w:ind w:firstLine="567"/>
        <w:jc w:val="both"/>
        <w:rPr>
          <w:rFonts w:ascii="Times New Roman" w:hAnsi="Times New Roman"/>
          <w:sz w:val="28"/>
          <w:szCs w:val="28"/>
        </w:rPr>
      </w:pPr>
      <w:r w:rsidRPr="0072162B">
        <w:rPr>
          <w:rFonts w:ascii="Times New Roman" w:hAnsi="Times New Roman"/>
          <w:sz w:val="28"/>
          <w:szCs w:val="28"/>
        </w:rPr>
        <w:t>Hər bir halda dövlət orqanları banklar tərəfindən təshih tədbirlər</w:t>
      </w:r>
      <w:r w:rsidR="008A39F7" w:rsidRPr="0072162B">
        <w:rPr>
          <w:rFonts w:ascii="Times New Roman" w:hAnsi="Times New Roman"/>
          <w:sz w:val="28"/>
          <w:szCs w:val="28"/>
        </w:rPr>
        <w:t>in</w:t>
      </w:r>
      <w:r w:rsidRPr="0072162B">
        <w:rPr>
          <w:rFonts w:ascii="Times New Roman" w:hAnsi="Times New Roman"/>
          <w:sz w:val="28"/>
          <w:szCs w:val="28"/>
        </w:rPr>
        <w:t>ə ri</w:t>
      </w:r>
      <w:r w:rsidR="008A39F7" w:rsidRPr="0072162B">
        <w:rPr>
          <w:rFonts w:ascii="Times New Roman" w:hAnsi="Times New Roman"/>
          <w:sz w:val="28"/>
          <w:szCs w:val="28"/>
        </w:rPr>
        <w:t>a</w:t>
      </w:r>
      <w:r w:rsidRPr="0072162B">
        <w:rPr>
          <w:rFonts w:ascii="Times New Roman" w:hAnsi="Times New Roman"/>
          <w:sz w:val="28"/>
          <w:szCs w:val="28"/>
        </w:rPr>
        <w:t>yət edilməsinə nəzarət edərək əmanətçilərin maraqlarının  qorunmasını təmin etməlidirlər.</w:t>
      </w:r>
    </w:p>
    <w:p w:rsidR="00FB0412" w:rsidRPr="0072162B" w:rsidRDefault="00B82355"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Konstitusiya Məhkəməsinin Plenumu qeyd edir ki, </w:t>
      </w:r>
      <w:r w:rsidR="00E7202B" w:rsidRPr="0072162B">
        <w:rPr>
          <w:rFonts w:ascii="Times New Roman" w:hAnsi="Times New Roman"/>
          <w:sz w:val="28"/>
          <w:szCs w:val="28"/>
        </w:rPr>
        <w:t>b</w:t>
      </w:r>
      <w:r w:rsidR="001930F8" w:rsidRPr="0072162B">
        <w:rPr>
          <w:rFonts w:ascii="Times New Roman" w:hAnsi="Times New Roman"/>
          <w:sz w:val="28"/>
          <w:szCs w:val="28"/>
        </w:rPr>
        <w:t>ankl</w:t>
      </w:r>
      <w:r w:rsidR="008A39F7" w:rsidRPr="0072162B">
        <w:rPr>
          <w:rFonts w:ascii="Times New Roman" w:hAnsi="Times New Roman"/>
          <w:sz w:val="28"/>
          <w:szCs w:val="28"/>
        </w:rPr>
        <w:t>ar</w:t>
      </w:r>
      <w:r w:rsidR="001930F8" w:rsidRPr="0072162B">
        <w:rPr>
          <w:rFonts w:ascii="Times New Roman" w:hAnsi="Times New Roman"/>
          <w:sz w:val="28"/>
          <w:szCs w:val="28"/>
        </w:rPr>
        <w:t xml:space="preserve"> tərəfindən “Banklar haqqında” Qanunun 47 və 48-ci maddə</w:t>
      </w:r>
      <w:r w:rsidR="008A39F7" w:rsidRPr="0072162B">
        <w:rPr>
          <w:rFonts w:ascii="Times New Roman" w:hAnsi="Times New Roman"/>
          <w:sz w:val="28"/>
          <w:szCs w:val="28"/>
        </w:rPr>
        <w:t>lər</w:t>
      </w:r>
      <w:r w:rsidR="001930F8" w:rsidRPr="0072162B">
        <w:rPr>
          <w:rFonts w:ascii="Times New Roman" w:hAnsi="Times New Roman"/>
          <w:sz w:val="28"/>
          <w:szCs w:val="28"/>
        </w:rPr>
        <w:t>inin tələbləri poz</w:t>
      </w:r>
      <w:r w:rsidR="008A39F7" w:rsidRPr="0072162B">
        <w:rPr>
          <w:rFonts w:ascii="Times New Roman" w:hAnsi="Times New Roman"/>
          <w:sz w:val="28"/>
          <w:szCs w:val="28"/>
        </w:rPr>
        <w:t>ul</w:t>
      </w:r>
      <w:r w:rsidR="001930F8" w:rsidRPr="0072162B">
        <w:rPr>
          <w:rFonts w:ascii="Times New Roman" w:hAnsi="Times New Roman"/>
          <w:sz w:val="28"/>
          <w:szCs w:val="28"/>
        </w:rPr>
        <w:t>araq təshih tədbirlə</w:t>
      </w:r>
      <w:r w:rsidR="00E7202B" w:rsidRPr="0072162B">
        <w:rPr>
          <w:rFonts w:ascii="Times New Roman" w:hAnsi="Times New Roman"/>
          <w:sz w:val="28"/>
          <w:szCs w:val="28"/>
        </w:rPr>
        <w:t>rinə</w:t>
      </w:r>
      <w:r w:rsidR="001930F8" w:rsidRPr="0072162B">
        <w:rPr>
          <w:rFonts w:ascii="Times New Roman" w:hAnsi="Times New Roman"/>
          <w:sz w:val="28"/>
          <w:szCs w:val="28"/>
        </w:rPr>
        <w:t xml:space="preserve"> </w:t>
      </w:r>
      <w:r w:rsidRPr="0072162B">
        <w:rPr>
          <w:rFonts w:ascii="Times New Roman" w:hAnsi="Times New Roman"/>
          <w:sz w:val="28"/>
          <w:szCs w:val="28"/>
        </w:rPr>
        <w:t xml:space="preserve">riayət </w:t>
      </w:r>
      <w:r w:rsidR="001930F8" w:rsidRPr="0072162B">
        <w:rPr>
          <w:rFonts w:ascii="Times New Roman" w:hAnsi="Times New Roman"/>
          <w:sz w:val="28"/>
          <w:szCs w:val="28"/>
        </w:rPr>
        <w:t xml:space="preserve">edilməməsi əmanətçilərin </w:t>
      </w:r>
      <w:r w:rsidR="00E9039C" w:rsidRPr="0072162B">
        <w:rPr>
          <w:rFonts w:ascii="Times New Roman" w:hAnsi="Times New Roman"/>
          <w:sz w:val="28"/>
          <w:szCs w:val="28"/>
        </w:rPr>
        <w:t>maraqlarına mənfi təsir göstərməməlidir.</w:t>
      </w:r>
    </w:p>
    <w:p w:rsidR="000D40A2" w:rsidRPr="0072162B" w:rsidRDefault="000D40A2"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Konstitusiya Məhkəməsinin Plenumu həmçinin vurğulayır ki, “Əmanətlərin sığortalanması haqqında” Qanunun 4.1.8-ci maddəsinə əsasən, </w:t>
      </w:r>
      <w:r w:rsidR="00B620CE" w:rsidRPr="0072162B">
        <w:rPr>
          <w:rFonts w:ascii="Times New Roman" w:hAnsi="Times New Roman"/>
          <w:sz w:val="28"/>
          <w:szCs w:val="28"/>
        </w:rPr>
        <w:t>Fond</w:t>
      </w:r>
      <w:r w:rsidRPr="0072162B">
        <w:rPr>
          <w:rFonts w:ascii="Times New Roman" w:hAnsi="Times New Roman"/>
          <w:sz w:val="28"/>
          <w:szCs w:val="28"/>
        </w:rPr>
        <w:t xml:space="preserve"> ödədiyi kompensasiya üzrə məbləği reqress qaydasında iştirakçı bankdan tələb etmək hüququna malikdir.</w:t>
      </w:r>
    </w:p>
    <w:p w:rsidR="00FB0412" w:rsidRPr="0072162B" w:rsidRDefault="008467AA" w:rsidP="0072162B">
      <w:pPr>
        <w:spacing w:after="0"/>
        <w:ind w:firstLine="567"/>
        <w:jc w:val="both"/>
        <w:rPr>
          <w:rFonts w:ascii="Times New Roman" w:hAnsi="Times New Roman"/>
          <w:sz w:val="28"/>
          <w:szCs w:val="28"/>
        </w:rPr>
      </w:pPr>
      <w:r w:rsidRPr="0072162B">
        <w:rPr>
          <w:rFonts w:ascii="Times New Roman" w:hAnsi="Times New Roman"/>
          <w:sz w:val="28"/>
          <w:szCs w:val="28"/>
        </w:rPr>
        <w:t>Göstərilənlərə əsasən, Konstitusiya Məhkəməsinin Plenumu aşağıdakı nəticələrə gəlir:</w:t>
      </w:r>
    </w:p>
    <w:p w:rsidR="00DC43A7" w:rsidRPr="0072162B" w:rsidRDefault="00DC43A7" w:rsidP="0072162B">
      <w:pPr>
        <w:spacing w:after="0"/>
        <w:ind w:firstLine="567"/>
        <w:jc w:val="both"/>
        <w:rPr>
          <w:rFonts w:ascii="Times New Roman" w:hAnsi="Times New Roman"/>
          <w:sz w:val="28"/>
          <w:szCs w:val="28"/>
        </w:rPr>
      </w:pPr>
      <w:r w:rsidRPr="0072162B">
        <w:rPr>
          <w:rFonts w:ascii="Times New Roman" w:hAnsi="Times New Roman"/>
          <w:sz w:val="28"/>
          <w:szCs w:val="28"/>
        </w:rPr>
        <w:t>“Əmanətlərin sığortalanması haqqında” Qanunun 2.1.2.6-cı maddəsinə görə, həmin Qanunun 8.1.20-ci maddəsinə müvafiq olaraq əm</w:t>
      </w:r>
      <w:r w:rsidR="00B620CE" w:rsidRPr="0072162B">
        <w:rPr>
          <w:rFonts w:ascii="Times New Roman" w:hAnsi="Times New Roman"/>
          <w:sz w:val="28"/>
          <w:szCs w:val="28"/>
        </w:rPr>
        <w:t>a</w:t>
      </w:r>
      <w:r w:rsidRPr="0072162B">
        <w:rPr>
          <w:rFonts w:ascii="Times New Roman" w:hAnsi="Times New Roman"/>
          <w:sz w:val="28"/>
          <w:szCs w:val="28"/>
        </w:rPr>
        <w:t>nətin qorunan əmanət statusuna aid edilməsi üçün onun illik faiz dərəcəsi müəyyən edilmiş həddən artıq olmamalıdır. Əmanətlə bağlı verilən bonus illik faiz dərəcəsinə aid edilmir.</w:t>
      </w:r>
    </w:p>
    <w:p w:rsidR="00883D7B" w:rsidRPr="0072162B" w:rsidRDefault="00883D7B" w:rsidP="0072162B">
      <w:pPr>
        <w:spacing w:after="0"/>
        <w:ind w:firstLine="567"/>
        <w:jc w:val="both"/>
        <w:rPr>
          <w:rFonts w:ascii="Times New Roman" w:hAnsi="Times New Roman"/>
          <w:sz w:val="28"/>
          <w:szCs w:val="28"/>
        </w:rPr>
      </w:pPr>
      <w:r w:rsidRPr="0072162B">
        <w:rPr>
          <w:rFonts w:ascii="Times New Roman" w:hAnsi="Times New Roman"/>
          <w:sz w:val="28"/>
          <w:szCs w:val="28"/>
        </w:rPr>
        <w:t xml:space="preserve">Bu </w:t>
      </w:r>
      <w:r w:rsidR="00B620CE" w:rsidRPr="0072162B">
        <w:rPr>
          <w:rFonts w:ascii="Times New Roman" w:hAnsi="Times New Roman"/>
          <w:sz w:val="28"/>
          <w:szCs w:val="28"/>
        </w:rPr>
        <w:t>Q</w:t>
      </w:r>
      <w:r w:rsidRPr="0072162B">
        <w:rPr>
          <w:rFonts w:ascii="Times New Roman" w:hAnsi="Times New Roman"/>
          <w:sz w:val="28"/>
          <w:szCs w:val="28"/>
        </w:rPr>
        <w:t>ərarın təsviri-əsaslandırıcı hissə</w:t>
      </w:r>
      <w:r w:rsidR="00FA2BE5" w:rsidRPr="0072162B">
        <w:rPr>
          <w:rFonts w:ascii="Times New Roman" w:hAnsi="Times New Roman"/>
          <w:sz w:val="28"/>
          <w:szCs w:val="28"/>
        </w:rPr>
        <w:t xml:space="preserve">sində əks olunmuş </w:t>
      </w:r>
      <w:r w:rsidR="00B620CE" w:rsidRPr="0072162B">
        <w:rPr>
          <w:rFonts w:ascii="Times New Roman" w:hAnsi="Times New Roman"/>
          <w:sz w:val="28"/>
          <w:szCs w:val="28"/>
        </w:rPr>
        <w:t>hüquqi mövqe</w:t>
      </w:r>
      <w:r w:rsidRPr="0072162B">
        <w:rPr>
          <w:rFonts w:ascii="Times New Roman" w:hAnsi="Times New Roman"/>
          <w:sz w:val="28"/>
          <w:szCs w:val="28"/>
        </w:rPr>
        <w:t xml:space="preserve">lər nəzərə alınaraq müəyyən edilmiş həddən yuxarı illik faiz dərəcəsi ilə qəbul edilmiş və təshih tədbirinin tətbiqindən sonra əmanətlərin şərtlərinin dəyişdirilməsi (faiz dərəcəsinin aşağı salınması) yolu ilə qorunan əmanət statusuna aid edilmiş əmanətlər qorunan əmanətlər hesab edilməlidir. </w:t>
      </w:r>
    </w:p>
    <w:p w:rsidR="00EC11C1" w:rsidRPr="0072162B" w:rsidRDefault="000E6D68" w:rsidP="0072162B">
      <w:pPr>
        <w:spacing w:after="0"/>
        <w:ind w:firstLine="567"/>
        <w:jc w:val="both"/>
        <w:rPr>
          <w:rFonts w:ascii="Times New Roman" w:hAnsi="Times New Roman"/>
          <w:sz w:val="28"/>
          <w:szCs w:val="28"/>
        </w:rPr>
      </w:pPr>
      <w:r w:rsidRPr="0072162B">
        <w:rPr>
          <w:rFonts w:ascii="Times New Roman" w:hAnsi="Times New Roman"/>
          <w:sz w:val="28"/>
          <w:szCs w:val="28"/>
        </w:rPr>
        <w:t>Azərbaycan Respublikası Konstitusiyasının 130-cu maddəsinin IV hissəsini və “Konstitusiya Məhkəməsi haqqında” Azərbaycan Respublikası Qanununun 60, 62, 63, 65-67 və 69-cu maddələrini rəhbər tutaraq, Azərbaycan Respublikası Konstitusiya Məhkəməsinin Plenumu </w:t>
      </w:r>
    </w:p>
    <w:p w:rsidR="0072162B" w:rsidRPr="0072162B" w:rsidRDefault="0072162B" w:rsidP="0072162B">
      <w:pPr>
        <w:spacing w:after="0"/>
        <w:ind w:firstLine="567"/>
        <w:jc w:val="both"/>
        <w:rPr>
          <w:rFonts w:ascii="Times New Roman" w:hAnsi="Times New Roman"/>
          <w:sz w:val="28"/>
          <w:szCs w:val="28"/>
        </w:rPr>
      </w:pPr>
    </w:p>
    <w:p w:rsidR="00BF2A9A" w:rsidRPr="0072162B" w:rsidRDefault="00BF2A9A" w:rsidP="0072162B">
      <w:pPr>
        <w:spacing w:after="0"/>
        <w:jc w:val="center"/>
        <w:rPr>
          <w:rFonts w:ascii="Times New Roman" w:hAnsi="Times New Roman"/>
          <w:sz w:val="28"/>
          <w:szCs w:val="28"/>
        </w:rPr>
      </w:pPr>
      <w:r w:rsidRPr="0072162B">
        <w:rPr>
          <w:rFonts w:ascii="Times New Roman" w:hAnsi="Times New Roman"/>
          <w:b/>
          <w:sz w:val="28"/>
          <w:szCs w:val="28"/>
        </w:rPr>
        <w:t xml:space="preserve">QƏRARA </w:t>
      </w:r>
      <w:r w:rsidR="00163FD0" w:rsidRPr="0072162B">
        <w:rPr>
          <w:rFonts w:ascii="Times New Roman" w:hAnsi="Times New Roman"/>
          <w:b/>
          <w:sz w:val="28"/>
          <w:szCs w:val="28"/>
        </w:rPr>
        <w:t xml:space="preserve"> </w:t>
      </w:r>
      <w:r w:rsidRPr="0072162B">
        <w:rPr>
          <w:rFonts w:ascii="Times New Roman" w:hAnsi="Times New Roman"/>
          <w:b/>
          <w:sz w:val="28"/>
          <w:szCs w:val="28"/>
        </w:rPr>
        <w:t>ALDI:</w:t>
      </w:r>
      <w:r w:rsidRPr="0072162B">
        <w:rPr>
          <w:rFonts w:ascii="Times New Roman" w:hAnsi="Times New Roman"/>
          <w:sz w:val="28"/>
          <w:szCs w:val="28"/>
        </w:rPr>
        <w:t> </w:t>
      </w:r>
    </w:p>
    <w:p w:rsidR="00424CBB" w:rsidRPr="0072162B" w:rsidRDefault="00424CBB" w:rsidP="0072162B">
      <w:pPr>
        <w:spacing w:after="0"/>
        <w:ind w:firstLine="567"/>
        <w:jc w:val="both"/>
        <w:rPr>
          <w:rFonts w:ascii="Times New Roman" w:hAnsi="Times New Roman"/>
          <w:sz w:val="28"/>
          <w:szCs w:val="28"/>
        </w:rPr>
      </w:pPr>
    </w:p>
    <w:p w:rsidR="000D40A2" w:rsidRPr="0072162B" w:rsidRDefault="0072162B" w:rsidP="0072162B">
      <w:pPr>
        <w:spacing w:after="0"/>
        <w:ind w:firstLine="567"/>
        <w:jc w:val="both"/>
        <w:rPr>
          <w:rFonts w:ascii="Times New Roman" w:hAnsi="Times New Roman"/>
          <w:sz w:val="28"/>
          <w:szCs w:val="28"/>
        </w:rPr>
      </w:pPr>
      <w:r>
        <w:rPr>
          <w:rFonts w:ascii="Times New Roman" w:hAnsi="Times New Roman"/>
          <w:sz w:val="28"/>
          <w:szCs w:val="28"/>
        </w:rPr>
        <w:t xml:space="preserve">1. </w:t>
      </w:r>
      <w:r w:rsidR="002C38FF" w:rsidRPr="0072162B">
        <w:rPr>
          <w:rFonts w:ascii="Times New Roman" w:hAnsi="Times New Roman"/>
          <w:sz w:val="28"/>
          <w:szCs w:val="28"/>
        </w:rPr>
        <w:t xml:space="preserve">“Əmanətlərin sığortalanması haqqında” Azərbaycan Respublikası Qanununun 2.1.2.6-cı maddəsinə </w:t>
      </w:r>
      <w:r w:rsidR="00424CBB" w:rsidRPr="0072162B">
        <w:rPr>
          <w:rFonts w:ascii="Times New Roman" w:hAnsi="Times New Roman"/>
          <w:sz w:val="28"/>
          <w:szCs w:val="28"/>
        </w:rPr>
        <w:t>görə</w:t>
      </w:r>
      <w:r w:rsidR="004B45E8" w:rsidRPr="0072162B">
        <w:rPr>
          <w:rFonts w:ascii="Times New Roman" w:hAnsi="Times New Roman"/>
          <w:sz w:val="28"/>
          <w:szCs w:val="28"/>
        </w:rPr>
        <w:t>,</w:t>
      </w:r>
      <w:r w:rsidR="002C38FF" w:rsidRPr="0072162B">
        <w:rPr>
          <w:rFonts w:ascii="Times New Roman" w:hAnsi="Times New Roman"/>
          <w:sz w:val="28"/>
          <w:szCs w:val="28"/>
        </w:rPr>
        <w:t xml:space="preserve"> həmin Qanunun 8.1.20-ci maddəsinə </w:t>
      </w:r>
      <w:r w:rsidR="000D40A2" w:rsidRPr="0072162B">
        <w:rPr>
          <w:rFonts w:ascii="Times New Roman" w:hAnsi="Times New Roman"/>
          <w:sz w:val="28"/>
          <w:szCs w:val="28"/>
        </w:rPr>
        <w:t>müvafiq olaraq əm</w:t>
      </w:r>
      <w:r w:rsidR="009F1B95" w:rsidRPr="0072162B">
        <w:rPr>
          <w:rFonts w:ascii="Times New Roman" w:hAnsi="Times New Roman"/>
          <w:sz w:val="28"/>
          <w:szCs w:val="28"/>
        </w:rPr>
        <w:t>a</w:t>
      </w:r>
      <w:r w:rsidR="000D40A2" w:rsidRPr="0072162B">
        <w:rPr>
          <w:rFonts w:ascii="Times New Roman" w:hAnsi="Times New Roman"/>
          <w:sz w:val="28"/>
          <w:szCs w:val="28"/>
        </w:rPr>
        <w:t>nətin qorunan əmanət statusuna aid edilməsi üçün onun illik faiz dərəcəsi müəyyən edilmiş həddən artıq olmamalıdır. Əmanətlə bağlı</w:t>
      </w:r>
      <w:r w:rsidR="00DC43A7" w:rsidRPr="0072162B">
        <w:rPr>
          <w:rFonts w:ascii="Times New Roman" w:hAnsi="Times New Roman"/>
          <w:sz w:val="28"/>
          <w:szCs w:val="28"/>
        </w:rPr>
        <w:t xml:space="preserve"> verilən</w:t>
      </w:r>
      <w:r w:rsidR="000D40A2" w:rsidRPr="0072162B">
        <w:rPr>
          <w:rFonts w:ascii="Times New Roman" w:hAnsi="Times New Roman"/>
          <w:sz w:val="28"/>
          <w:szCs w:val="28"/>
        </w:rPr>
        <w:t xml:space="preserve"> bonus illik faiz dərəcəsinə aid edilmir.</w:t>
      </w:r>
    </w:p>
    <w:p w:rsidR="00E7202B" w:rsidRPr="0072162B" w:rsidRDefault="00BF2A9A" w:rsidP="0072162B">
      <w:pPr>
        <w:spacing w:after="0"/>
        <w:ind w:firstLine="567"/>
        <w:jc w:val="both"/>
        <w:rPr>
          <w:rFonts w:ascii="Times New Roman" w:hAnsi="Times New Roman"/>
          <w:sz w:val="28"/>
          <w:szCs w:val="28"/>
        </w:rPr>
      </w:pPr>
      <w:r w:rsidRPr="0072162B">
        <w:rPr>
          <w:rFonts w:ascii="Times New Roman" w:hAnsi="Times New Roman"/>
          <w:sz w:val="28"/>
          <w:szCs w:val="28"/>
        </w:rPr>
        <w:t>2.</w:t>
      </w:r>
      <w:r w:rsidR="00B25F72" w:rsidRPr="0072162B">
        <w:rPr>
          <w:rFonts w:ascii="Times New Roman" w:hAnsi="Times New Roman"/>
          <w:sz w:val="28"/>
          <w:szCs w:val="28"/>
        </w:rPr>
        <w:tab/>
      </w:r>
      <w:r w:rsidR="000D40A2" w:rsidRPr="0072162B">
        <w:rPr>
          <w:rFonts w:ascii="Times New Roman" w:hAnsi="Times New Roman"/>
          <w:sz w:val="28"/>
          <w:szCs w:val="28"/>
        </w:rPr>
        <w:t xml:space="preserve">Bu </w:t>
      </w:r>
      <w:r w:rsidR="009F1B95" w:rsidRPr="0072162B">
        <w:rPr>
          <w:rFonts w:ascii="Times New Roman" w:hAnsi="Times New Roman"/>
          <w:sz w:val="28"/>
          <w:szCs w:val="28"/>
        </w:rPr>
        <w:t>Q</w:t>
      </w:r>
      <w:r w:rsidR="000D40A2" w:rsidRPr="0072162B">
        <w:rPr>
          <w:rFonts w:ascii="Times New Roman" w:hAnsi="Times New Roman"/>
          <w:sz w:val="28"/>
          <w:szCs w:val="28"/>
        </w:rPr>
        <w:t>ərarın təsviri-əsaslandırıcı hissə</w:t>
      </w:r>
      <w:r w:rsidR="00E8443F" w:rsidRPr="0072162B">
        <w:rPr>
          <w:rFonts w:ascii="Times New Roman" w:hAnsi="Times New Roman"/>
          <w:sz w:val="28"/>
          <w:szCs w:val="28"/>
        </w:rPr>
        <w:t>sin</w:t>
      </w:r>
      <w:r w:rsidR="00FA2BE5" w:rsidRPr="0072162B">
        <w:rPr>
          <w:rFonts w:ascii="Times New Roman" w:hAnsi="Times New Roman"/>
          <w:sz w:val="28"/>
          <w:szCs w:val="28"/>
        </w:rPr>
        <w:t xml:space="preserve">də əks olunmuş </w:t>
      </w:r>
      <w:r w:rsidR="009F1B95" w:rsidRPr="0072162B">
        <w:rPr>
          <w:rFonts w:ascii="Times New Roman" w:hAnsi="Times New Roman"/>
          <w:sz w:val="28"/>
          <w:szCs w:val="28"/>
        </w:rPr>
        <w:t>hüquqi mövqe</w:t>
      </w:r>
      <w:r w:rsidR="000D40A2" w:rsidRPr="0072162B">
        <w:rPr>
          <w:rFonts w:ascii="Times New Roman" w:hAnsi="Times New Roman"/>
          <w:sz w:val="28"/>
          <w:szCs w:val="28"/>
        </w:rPr>
        <w:t xml:space="preserve">lər nəzərə alınaraq </w:t>
      </w:r>
      <w:r w:rsidR="00E7202B" w:rsidRPr="0072162B">
        <w:rPr>
          <w:rFonts w:ascii="Times New Roman" w:hAnsi="Times New Roman"/>
          <w:sz w:val="28"/>
          <w:szCs w:val="28"/>
        </w:rPr>
        <w:t xml:space="preserve">müəyyən edilmiş həddən yuxarı illik faiz dərəcəsi ilə qəbul edilmiş və </w:t>
      </w:r>
      <w:r w:rsidR="00E7202B" w:rsidRPr="0072162B">
        <w:rPr>
          <w:rFonts w:ascii="Times New Roman" w:hAnsi="Times New Roman"/>
          <w:sz w:val="28"/>
          <w:szCs w:val="28"/>
        </w:rPr>
        <w:lastRenderedPageBreak/>
        <w:t xml:space="preserve">təshih tədbirinin tətbiqindən sonra əmanətlərin şərtlərinin dəyişdirilməsi (faiz dərəcəsinin aşağı salınması) yolu ilə qorunan əmanət statusuna aid edilmiş əmanətlər qorunan əmanətlər hesab edilməlidir. </w:t>
      </w:r>
    </w:p>
    <w:p w:rsidR="00BF2A9A" w:rsidRPr="0072162B" w:rsidRDefault="00BF2A9A" w:rsidP="0072162B">
      <w:pPr>
        <w:spacing w:after="0"/>
        <w:ind w:firstLine="567"/>
        <w:jc w:val="both"/>
        <w:rPr>
          <w:rFonts w:ascii="Times New Roman" w:hAnsi="Times New Roman"/>
          <w:sz w:val="28"/>
          <w:szCs w:val="28"/>
        </w:rPr>
      </w:pPr>
      <w:r w:rsidRPr="0072162B">
        <w:rPr>
          <w:rFonts w:ascii="Times New Roman" w:hAnsi="Times New Roman"/>
          <w:sz w:val="28"/>
          <w:szCs w:val="28"/>
        </w:rPr>
        <w:t>3.</w:t>
      </w:r>
      <w:r w:rsidR="00B25F72" w:rsidRPr="0072162B">
        <w:rPr>
          <w:rFonts w:ascii="Times New Roman" w:hAnsi="Times New Roman"/>
          <w:sz w:val="28"/>
          <w:szCs w:val="28"/>
        </w:rPr>
        <w:tab/>
      </w:r>
      <w:r w:rsidRPr="0072162B">
        <w:rPr>
          <w:rFonts w:ascii="Times New Roman" w:hAnsi="Times New Roman"/>
          <w:sz w:val="28"/>
          <w:szCs w:val="28"/>
        </w:rPr>
        <w:t>Qərar dərc edildiyi gündən qüvvəyə minir.</w:t>
      </w:r>
    </w:p>
    <w:p w:rsidR="00BF2A9A" w:rsidRPr="0072162B" w:rsidRDefault="00BF2A9A" w:rsidP="0072162B">
      <w:pPr>
        <w:spacing w:after="0"/>
        <w:ind w:firstLine="567"/>
        <w:jc w:val="both"/>
        <w:rPr>
          <w:rFonts w:ascii="Times New Roman" w:hAnsi="Times New Roman"/>
          <w:sz w:val="28"/>
          <w:szCs w:val="28"/>
        </w:rPr>
      </w:pPr>
      <w:r w:rsidRPr="0072162B">
        <w:rPr>
          <w:rFonts w:ascii="Times New Roman" w:hAnsi="Times New Roman"/>
          <w:sz w:val="28"/>
          <w:szCs w:val="28"/>
        </w:rPr>
        <w:t>4.</w:t>
      </w:r>
      <w:r w:rsidR="00B25F72" w:rsidRPr="0072162B">
        <w:rPr>
          <w:rFonts w:ascii="Times New Roman" w:hAnsi="Times New Roman"/>
          <w:sz w:val="28"/>
          <w:szCs w:val="28"/>
        </w:rPr>
        <w:tab/>
      </w:r>
      <w:r w:rsidRPr="0072162B">
        <w:rPr>
          <w:rFonts w:ascii="Times New Roman" w:hAnsi="Times New Roman"/>
          <w:sz w:val="28"/>
          <w:szCs w:val="28"/>
        </w:rPr>
        <w:t>Qərar “Azərbaycan”, “Respublika”, “Xalq qəzeti”, “Bakinski raboçi” qəzetlərində</w:t>
      </w:r>
      <w:r w:rsidR="009F1B95" w:rsidRPr="0072162B">
        <w:rPr>
          <w:rFonts w:ascii="Times New Roman" w:hAnsi="Times New Roman"/>
          <w:sz w:val="28"/>
          <w:szCs w:val="28"/>
        </w:rPr>
        <w:t xml:space="preserve"> və</w:t>
      </w:r>
      <w:r w:rsidRPr="0072162B">
        <w:rPr>
          <w:rFonts w:ascii="Times New Roman" w:hAnsi="Times New Roman"/>
          <w:sz w:val="28"/>
          <w:szCs w:val="28"/>
        </w:rPr>
        <w:t xml:space="preserve"> “Azərbaycan Respublikası Konstitusiya Məhkəməsinin Məlumatı”nda dərc edilsin.</w:t>
      </w:r>
    </w:p>
    <w:p w:rsidR="00BF2A9A" w:rsidRPr="0072162B" w:rsidRDefault="00BF2A9A" w:rsidP="0072162B">
      <w:pPr>
        <w:spacing w:after="0"/>
        <w:ind w:firstLine="567"/>
        <w:jc w:val="both"/>
        <w:rPr>
          <w:rFonts w:ascii="Times New Roman" w:hAnsi="Times New Roman"/>
          <w:sz w:val="28"/>
          <w:szCs w:val="28"/>
        </w:rPr>
      </w:pPr>
      <w:r w:rsidRPr="0072162B">
        <w:rPr>
          <w:rFonts w:ascii="Times New Roman" w:hAnsi="Times New Roman"/>
          <w:sz w:val="28"/>
          <w:szCs w:val="28"/>
        </w:rPr>
        <w:t>5.</w:t>
      </w:r>
      <w:r w:rsidR="00B25F72" w:rsidRPr="0072162B">
        <w:rPr>
          <w:rFonts w:ascii="Times New Roman" w:hAnsi="Times New Roman"/>
          <w:sz w:val="28"/>
          <w:szCs w:val="28"/>
        </w:rPr>
        <w:tab/>
      </w:r>
      <w:r w:rsidRPr="0072162B">
        <w:rPr>
          <w:rFonts w:ascii="Times New Roman" w:hAnsi="Times New Roman"/>
          <w:sz w:val="28"/>
          <w:szCs w:val="28"/>
        </w:rPr>
        <w:t>Qərar qətidir, heç bir orqan və ya şəxs tərəfindən ləğv edilə, dəyişdirilə və ya rəsmi təfsir edilə bilməz.</w:t>
      </w:r>
    </w:p>
    <w:p w:rsidR="00B23C28" w:rsidRPr="0072162B" w:rsidRDefault="00BF2A9A" w:rsidP="0072162B">
      <w:pPr>
        <w:spacing w:after="0"/>
        <w:ind w:firstLine="567"/>
        <w:jc w:val="both"/>
        <w:rPr>
          <w:rFonts w:ascii="Times New Roman" w:hAnsi="Times New Roman"/>
          <w:sz w:val="28"/>
          <w:szCs w:val="28"/>
        </w:rPr>
      </w:pPr>
      <w:r w:rsidRPr="0072162B">
        <w:rPr>
          <w:rFonts w:ascii="Times New Roman" w:hAnsi="Times New Roman"/>
          <w:sz w:val="28"/>
          <w:szCs w:val="28"/>
        </w:rPr>
        <w:t>  </w:t>
      </w:r>
    </w:p>
    <w:p w:rsidR="00B23C28" w:rsidRPr="0072162B" w:rsidRDefault="00B23C28" w:rsidP="0072162B">
      <w:pPr>
        <w:spacing w:after="0"/>
        <w:ind w:firstLine="567"/>
        <w:jc w:val="both"/>
        <w:rPr>
          <w:rFonts w:ascii="Times New Roman" w:hAnsi="Times New Roman"/>
          <w:sz w:val="28"/>
          <w:szCs w:val="28"/>
        </w:rPr>
      </w:pPr>
    </w:p>
    <w:p w:rsidR="00BF2A9A" w:rsidRDefault="00BF2A9A" w:rsidP="0072162B">
      <w:pPr>
        <w:spacing w:after="0"/>
        <w:ind w:firstLine="567"/>
        <w:jc w:val="both"/>
        <w:rPr>
          <w:rFonts w:ascii="Times New Roman" w:hAnsi="Times New Roman"/>
          <w:b/>
          <w:sz w:val="28"/>
          <w:szCs w:val="28"/>
        </w:rPr>
      </w:pPr>
      <w:r w:rsidRPr="0072162B">
        <w:rPr>
          <w:rFonts w:ascii="Times New Roman" w:hAnsi="Times New Roman"/>
          <w:b/>
          <w:sz w:val="28"/>
          <w:szCs w:val="28"/>
        </w:rPr>
        <w:t>Sədr </w:t>
      </w:r>
      <w:r w:rsidR="00EC11C1" w:rsidRPr="0072162B">
        <w:rPr>
          <w:rFonts w:ascii="Times New Roman" w:hAnsi="Times New Roman"/>
          <w:b/>
          <w:sz w:val="28"/>
          <w:szCs w:val="28"/>
        </w:rPr>
        <w:t xml:space="preserve">    </w:t>
      </w:r>
      <w:r w:rsidRPr="0072162B">
        <w:rPr>
          <w:rFonts w:ascii="Times New Roman" w:hAnsi="Times New Roman"/>
          <w:b/>
          <w:sz w:val="28"/>
          <w:szCs w:val="28"/>
        </w:rPr>
        <w:t>                                                                         Fərhad Abdullayev</w:t>
      </w:r>
    </w:p>
    <w:p w:rsidR="0072162B" w:rsidRPr="0072162B" w:rsidRDefault="0072162B" w:rsidP="0072162B">
      <w:pPr>
        <w:spacing w:after="0"/>
        <w:ind w:firstLine="567"/>
        <w:jc w:val="both"/>
        <w:rPr>
          <w:rFonts w:ascii="Times New Roman" w:hAnsi="Times New Roman"/>
          <w:b/>
          <w:sz w:val="28"/>
          <w:szCs w:val="28"/>
        </w:rPr>
      </w:pPr>
    </w:p>
    <w:sectPr w:rsidR="0072162B" w:rsidRPr="0072162B" w:rsidSect="00B528FE">
      <w:footerReference w:type="even" r:id="rId8"/>
      <w:footerReference w:type="default" r:id="rId9"/>
      <w:pgSz w:w="12240" w:h="15840"/>
      <w:pgMar w:top="85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C15" w:rsidRDefault="006B5C15" w:rsidP="00D72B0C">
      <w:pPr>
        <w:spacing w:after="0" w:line="240" w:lineRule="auto"/>
      </w:pPr>
      <w:r>
        <w:separator/>
      </w:r>
    </w:p>
  </w:endnote>
  <w:endnote w:type="continuationSeparator" w:id="0">
    <w:p w:rsidR="006B5C15" w:rsidRDefault="006B5C15" w:rsidP="00D7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A0" w:rsidRDefault="00CA72A0" w:rsidP="002F66F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72A0" w:rsidRDefault="00CA72A0" w:rsidP="002F66F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A0" w:rsidRDefault="00CA72A0" w:rsidP="002F66F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B3DE6">
      <w:rPr>
        <w:rStyle w:val="aa"/>
        <w:noProof/>
      </w:rPr>
      <w:t>10</w:t>
    </w:r>
    <w:r>
      <w:rPr>
        <w:rStyle w:val="aa"/>
      </w:rPr>
      <w:fldChar w:fldCharType="end"/>
    </w:r>
  </w:p>
  <w:p w:rsidR="00CA72A0" w:rsidRDefault="00CA72A0" w:rsidP="002F66F0">
    <w:pPr>
      <w:pStyle w:val="a5"/>
      <w:ind w:right="360"/>
      <w:jc w:val="center"/>
    </w:pPr>
  </w:p>
  <w:p w:rsidR="00CA72A0" w:rsidRDefault="00CA72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C15" w:rsidRDefault="006B5C15" w:rsidP="00D72B0C">
      <w:pPr>
        <w:spacing w:after="0" w:line="240" w:lineRule="auto"/>
      </w:pPr>
      <w:r>
        <w:separator/>
      </w:r>
    </w:p>
  </w:footnote>
  <w:footnote w:type="continuationSeparator" w:id="0">
    <w:p w:rsidR="006B5C15" w:rsidRDefault="006B5C15" w:rsidP="00D72B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66A"/>
    <w:multiLevelType w:val="hybridMultilevel"/>
    <w:tmpl w:val="2058407A"/>
    <w:lvl w:ilvl="0" w:tplc="BFD6162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0B1C24"/>
    <w:multiLevelType w:val="hybridMultilevel"/>
    <w:tmpl w:val="91B0A5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67542E6"/>
    <w:multiLevelType w:val="hybridMultilevel"/>
    <w:tmpl w:val="ED60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590EE6"/>
    <w:multiLevelType w:val="hybridMultilevel"/>
    <w:tmpl w:val="447A65D6"/>
    <w:lvl w:ilvl="0" w:tplc="0B089A1A">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8750E3D"/>
    <w:multiLevelType w:val="hybridMultilevel"/>
    <w:tmpl w:val="990C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420EE"/>
    <w:rsid w:val="0000318A"/>
    <w:rsid w:val="000038C4"/>
    <w:rsid w:val="00006F4A"/>
    <w:rsid w:val="000116F6"/>
    <w:rsid w:val="00011F3C"/>
    <w:rsid w:val="000157EC"/>
    <w:rsid w:val="0002117B"/>
    <w:rsid w:val="00022EAD"/>
    <w:rsid w:val="000308FC"/>
    <w:rsid w:val="00030FB5"/>
    <w:rsid w:val="00033DA0"/>
    <w:rsid w:val="000361AF"/>
    <w:rsid w:val="00037CE6"/>
    <w:rsid w:val="0004692E"/>
    <w:rsid w:val="00051400"/>
    <w:rsid w:val="00051DBE"/>
    <w:rsid w:val="0005276C"/>
    <w:rsid w:val="00056E7A"/>
    <w:rsid w:val="00061F40"/>
    <w:rsid w:val="0006386C"/>
    <w:rsid w:val="0006797E"/>
    <w:rsid w:val="00072DC3"/>
    <w:rsid w:val="00075EE1"/>
    <w:rsid w:val="0008463A"/>
    <w:rsid w:val="00090BD0"/>
    <w:rsid w:val="000918FA"/>
    <w:rsid w:val="000919B0"/>
    <w:rsid w:val="000932FF"/>
    <w:rsid w:val="00094F0F"/>
    <w:rsid w:val="000A78FA"/>
    <w:rsid w:val="000B1028"/>
    <w:rsid w:val="000B755A"/>
    <w:rsid w:val="000C3BBB"/>
    <w:rsid w:val="000D40A2"/>
    <w:rsid w:val="000D4690"/>
    <w:rsid w:val="000E3296"/>
    <w:rsid w:val="000E63C6"/>
    <w:rsid w:val="000E6D68"/>
    <w:rsid w:val="000F1F81"/>
    <w:rsid w:val="00101CA6"/>
    <w:rsid w:val="00105D17"/>
    <w:rsid w:val="00110AE1"/>
    <w:rsid w:val="00112752"/>
    <w:rsid w:val="001203BC"/>
    <w:rsid w:val="001247C1"/>
    <w:rsid w:val="001302F9"/>
    <w:rsid w:val="00130EBB"/>
    <w:rsid w:val="00131C18"/>
    <w:rsid w:val="00132EFE"/>
    <w:rsid w:val="00133F36"/>
    <w:rsid w:val="0013461C"/>
    <w:rsid w:val="00135319"/>
    <w:rsid w:val="0014005D"/>
    <w:rsid w:val="00144D5F"/>
    <w:rsid w:val="00146F60"/>
    <w:rsid w:val="00150162"/>
    <w:rsid w:val="00152073"/>
    <w:rsid w:val="001534E1"/>
    <w:rsid w:val="001631F0"/>
    <w:rsid w:val="00163FD0"/>
    <w:rsid w:val="001653C4"/>
    <w:rsid w:val="001702F2"/>
    <w:rsid w:val="001747DD"/>
    <w:rsid w:val="0017528E"/>
    <w:rsid w:val="0018156E"/>
    <w:rsid w:val="0018189B"/>
    <w:rsid w:val="0018705C"/>
    <w:rsid w:val="00187447"/>
    <w:rsid w:val="001930F8"/>
    <w:rsid w:val="00194879"/>
    <w:rsid w:val="001969DD"/>
    <w:rsid w:val="001A185A"/>
    <w:rsid w:val="001B1CA8"/>
    <w:rsid w:val="001B48D2"/>
    <w:rsid w:val="001B714B"/>
    <w:rsid w:val="001C1770"/>
    <w:rsid w:val="001C3640"/>
    <w:rsid w:val="001C47E9"/>
    <w:rsid w:val="001D1289"/>
    <w:rsid w:val="001D1B97"/>
    <w:rsid w:val="001D5675"/>
    <w:rsid w:val="001D6422"/>
    <w:rsid w:val="001D697F"/>
    <w:rsid w:val="001D6D61"/>
    <w:rsid w:val="001E2ED1"/>
    <w:rsid w:val="001E3CF1"/>
    <w:rsid w:val="001E4881"/>
    <w:rsid w:val="001E4BA2"/>
    <w:rsid w:val="001F00F8"/>
    <w:rsid w:val="001F2BFA"/>
    <w:rsid w:val="001F2EDE"/>
    <w:rsid w:val="001F46E5"/>
    <w:rsid w:val="001F61C0"/>
    <w:rsid w:val="0020514B"/>
    <w:rsid w:val="00220E8B"/>
    <w:rsid w:val="00222CEA"/>
    <w:rsid w:val="00235058"/>
    <w:rsid w:val="002364F7"/>
    <w:rsid w:val="002434B5"/>
    <w:rsid w:val="0024375F"/>
    <w:rsid w:val="00251FD5"/>
    <w:rsid w:val="00257642"/>
    <w:rsid w:val="00274464"/>
    <w:rsid w:val="00280524"/>
    <w:rsid w:val="00282361"/>
    <w:rsid w:val="00282D85"/>
    <w:rsid w:val="00292B67"/>
    <w:rsid w:val="00292F3B"/>
    <w:rsid w:val="00293929"/>
    <w:rsid w:val="002967BD"/>
    <w:rsid w:val="002A369C"/>
    <w:rsid w:val="002A7B82"/>
    <w:rsid w:val="002B0025"/>
    <w:rsid w:val="002B0236"/>
    <w:rsid w:val="002B03E5"/>
    <w:rsid w:val="002B507B"/>
    <w:rsid w:val="002C2AF1"/>
    <w:rsid w:val="002C2DF3"/>
    <w:rsid w:val="002C38FF"/>
    <w:rsid w:val="002D0DEA"/>
    <w:rsid w:val="002D6433"/>
    <w:rsid w:val="002E0F9D"/>
    <w:rsid w:val="002E158E"/>
    <w:rsid w:val="002E4E71"/>
    <w:rsid w:val="002F2999"/>
    <w:rsid w:val="002F66F0"/>
    <w:rsid w:val="00310C6C"/>
    <w:rsid w:val="00325AF4"/>
    <w:rsid w:val="00327D86"/>
    <w:rsid w:val="00331ACA"/>
    <w:rsid w:val="00334795"/>
    <w:rsid w:val="00336E9E"/>
    <w:rsid w:val="00345968"/>
    <w:rsid w:val="003464CE"/>
    <w:rsid w:val="00347C37"/>
    <w:rsid w:val="00353C9F"/>
    <w:rsid w:val="00354032"/>
    <w:rsid w:val="003607E7"/>
    <w:rsid w:val="0036350B"/>
    <w:rsid w:val="00364B5C"/>
    <w:rsid w:val="00364F83"/>
    <w:rsid w:val="0036791E"/>
    <w:rsid w:val="00387E45"/>
    <w:rsid w:val="00391016"/>
    <w:rsid w:val="003915F4"/>
    <w:rsid w:val="00392F4D"/>
    <w:rsid w:val="003A0F3F"/>
    <w:rsid w:val="003A29A6"/>
    <w:rsid w:val="003A7A37"/>
    <w:rsid w:val="003B3DE6"/>
    <w:rsid w:val="003B4134"/>
    <w:rsid w:val="003B7533"/>
    <w:rsid w:val="003C1FFD"/>
    <w:rsid w:val="003C31C1"/>
    <w:rsid w:val="003D06CE"/>
    <w:rsid w:val="003D44F8"/>
    <w:rsid w:val="003D67E1"/>
    <w:rsid w:val="003E4BD8"/>
    <w:rsid w:val="003E5904"/>
    <w:rsid w:val="003E605B"/>
    <w:rsid w:val="003F2160"/>
    <w:rsid w:val="004037F8"/>
    <w:rsid w:val="00403C17"/>
    <w:rsid w:val="0040761A"/>
    <w:rsid w:val="00411B00"/>
    <w:rsid w:val="004144FC"/>
    <w:rsid w:val="00420C15"/>
    <w:rsid w:val="00420C27"/>
    <w:rsid w:val="00420C64"/>
    <w:rsid w:val="004220BC"/>
    <w:rsid w:val="0042244B"/>
    <w:rsid w:val="00424CBB"/>
    <w:rsid w:val="0042553A"/>
    <w:rsid w:val="004272B1"/>
    <w:rsid w:val="00427AAB"/>
    <w:rsid w:val="00431A39"/>
    <w:rsid w:val="00431CF3"/>
    <w:rsid w:val="004374C1"/>
    <w:rsid w:val="0044141C"/>
    <w:rsid w:val="004414B2"/>
    <w:rsid w:val="004420EE"/>
    <w:rsid w:val="00444C0F"/>
    <w:rsid w:val="00450194"/>
    <w:rsid w:val="00460532"/>
    <w:rsid w:val="00461813"/>
    <w:rsid w:val="00471765"/>
    <w:rsid w:val="004771E8"/>
    <w:rsid w:val="00480058"/>
    <w:rsid w:val="0048111E"/>
    <w:rsid w:val="00486896"/>
    <w:rsid w:val="004872FF"/>
    <w:rsid w:val="00490F52"/>
    <w:rsid w:val="004927F7"/>
    <w:rsid w:val="00495EF9"/>
    <w:rsid w:val="004A1789"/>
    <w:rsid w:val="004A1A90"/>
    <w:rsid w:val="004A2011"/>
    <w:rsid w:val="004A2266"/>
    <w:rsid w:val="004B079D"/>
    <w:rsid w:val="004B2775"/>
    <w:rsid w:val="004B45E8"/>
    <w:rsid w:val="004B5C05"/>
    <w:rsid w:val="004B623E"/>
    <w:rsid w:val="004C5CAB"/>
    <w:rsid w:val="004C642A"/>
    <w:rsid w:val="004D69D5"/>
    <w:rsid w:val="004E2FAD"/>
    <w:rsid w:val="004E4A93"/>
    <w:rsid w:val="004E55F7"/>
    <w:rsid w:val="004E7076"/>
    <w:rsid w:val="004E7BBB"/>
    <w:rsid w:val="004F17BA"/>
    <w:rsid w:val="004F5355"/>
    <w:rsid w:val="004F611B"/>
    <w:rsid w:val="00500B2C"/>
    <w:rsid w:val="005048DA"/>
    <w:rsid w:val="00513758"/>
    <w:rsid w:val="005156E9"/>
    <w:rsid w:val="0052096E"/>
    <w:rsid w:val="00522375"/>
    <w:rsid w:val="0052379E"/>
    <w:rsid w:val="00526654"/>
    <w:rsid w:val="00527493"/>
    <w:rsid w:val="00533A5A"/>
    <w:rsid w:val="00534F3C"/>
    <w:rsid w:val="00536946"/>
    <w:rsid w:val="005408FB"/>
    <w:rsid w:val="00541073"/>
    <w:rsid w:val="00551AF3"/>
    <w:rsid w:val="00557499"/>
    <w:rsid w:val="00563C46"/>
    <w:rsid w:val="00567D1B"/>
    <w:rsid w:val="00567FE1"/>
    <w:rsid w:val="0057272B"/>
    <w:rsid w:val="005736CA"/>
    <w:rsid w:val="00576A3F"/>
    <w:rsid w:val="0057796A"/>
    <w:rsid w:val="00580D0D"/>
    <w:rsid w:val="005971C1"/>
    <w:rsid w:val="005A1802"/>
    <w:rsid w:val="005A570F"/>
    <w:rsid w:val="005A60CF"/>
    <w:rsid w:val="005A652D"/>
    <w:rsid w:val="005B3B80"/>
    <w:rsid w:val="005B531F"/>
    <w:rsid w:val="005B5B29"/>
    <w:rsid w:val="005B65F5"/>
    <w:rsid w:val="005C11C8"/>
    <w:rsid w:val="005C4AE7"/>
    <w:rsid w:val="005D4BAD"/>
    <w:rsid w:val="005D7007"/>
    <w:rsid w:val="005E0080"/>
    <w:rsid w:val="005E1091"/>
    <w:rsid w:val="005E647F"/>
    <w:rsid w:val="005E7F14"/>
    <w:rsid w:val="005F5CFF"/>
    <w:rsid w:val="00600A0F"/>
    <w:rsid w:val="00606137"/>
    <w:rsid w:val="0061372A"/>
    <w:rsid w:val="00615583"/>
    <w:rsid w:val="00630179"/>
    <w:rsid w:val="00631F7D"/>
    <w:rsid w:val="00633727"/>
    <w:rsid w:val="0063666E"/>
    <w:rsid w:val="0064291C"/>
    <w:rsid w:val="006457D3"/>
    <w:rsid w:val="00646781"/>
    <w:rsid w:val="00651B98"/>
    <w:rsid w:val="00655F0D"/>
    <w:rsid w:val="006601B6"/>
    <w:rsid w:val="00662D90"/>
    <w:rsid w:val="006644D0"/>
    <w:rsid w:val="00666B67"/>
    <w:rsid w:val="0066784D"/>
    <w:rsid w:val="0067382F"/>
    <w:rsid w:val="0068067B"/>
    <w:rsid w:val="00681151"/>
    <w:rsid w:val="00683B27"/>
    <w:rsid w:val="006A5AE0"/>
    <w:rsid w:val="006A61EB"/>
    <w:rsid w:val="006B4D5B"/>
    <w:rsid w:val="006B5C15"/>
    <w:rsid w:val="006B7A92"/>
    <w:rsid w:val="006B7F94"/>
    <w:rsid w:val="006C459F"/>
    <w:rsid w:val="006D1589"/>
    <w:rsid w:val="006D3ECF"/>
    <w:rsid w:val="006D4003"/>
    <w:rsid w:val="006E2877"/>
    <w:rsid w:val="006E4375"/>
    <w:rsid w:val="006E676B"/>
    <w:rsid w:val="006F4CA9"/>
    <w:rsid w:val="006F50D0"/>
    <w:rsid w:val="00701396"/>
    <w:rsid w:val="0070486F"/>
    <w:rsid w:val="007119D3"/>
    <w:rsid w:val="007132D0"/>
    <w:rsid w:val="0072162B"/>
    <w:rsid w:val="0073193E"/>
    <w:rsid w:val="007327DD"/>
    <w:rsid w:val="00733E89"/>
    <w:rsid w:val="00747196"/>
    <w:rsid w:val="00750B0F"/>
    <w:rsid w:val="00753DE6"/>
    <w:rsid w:val="00754160"/>
    <w:rsid w:val="00760F00"/>
    <w:rsid w:val="00762DCE"/>
    <w:rsid w:val="0077035C"/>
    <w:rsid w:val="00775594"/>
    <w:rsid w:val="0078213E"/>
    <w:rsid w:val="00783DA9"/>
    <w:rsid w:val="00790317"/>
    <w:rsid w:val="007B0854"/>
    <w:rsid w:val="007B7E95"/>
    <w:rsid w:val="007C3378"/>
    <w:rsid w:val="007C337C"/>
    <w:rsid w:val="007D194A"/>
    <w:rsid w:val="007D19C8"/>
    <w:rsid w:val="007D3BB3"/>
    <w:rsid w:val="007D6B62"/>
    <w:rsid w:val="007D7800"/>
    <w:rsid w:val="007E14B8"/>
    <w:rsid w:val="007E313A"/>
    <w:rsid w:val="007E4ACB"/>
    <w:rsid w:val="007E72CD"/>
    <w:rsid w:val="007F023C"/>
    <w:rsid w:val="00801F91"/>
    <w:rsid w:val="008125EF"/>
    <w:rsid w:val="0081615C"/>
    <w:rsid w:val="00831F84"/>
    <w:rsid w:val="0083266F"/>
    <w:rsid w:val="00832C45"/>
    <w:rsid w:val="008337FF"/>
    <w:rsid w:val="008357FF"/>
    <w:rsid w:val="00841CC3"/>
    <w:rsid w:val="00842FC1"/>
    <w:rsid w:val="008467AA"/>
    <w:rsid w:val="008525DD"/>
    <w:rsid w:val="0086388C"/>
    <w:rsid w:val="0087374B"/>
    <w:rsid w:val="00877A09"/>
    <w:rsid w:val="00883D7B"/>
    <w:rsid w:val="008863DB"/>
    <w:rsid w:val="008973D9"/>
    <w:rsid w:val="00897A0E"/>
    <w:rsid w:val="00897A6E"/>
    <w:rsid w:val="008A21F2"/>
    <w:rsid w:val="008A3935"/>
    <w:rsid w:val="008A39F7"/>
    <w:rsid w:val="008A41D2"/>
    <w:rsid w:val="008A46CC"/>
    <w:rsid w:val="008A77BF"/>
    <w:rsid w:val="008B01D5"/>
    <w:rsid w:val="008B0620"/>
    <w:rsid w:val="008B25FD"/>
    <w:rsid w:val="008B7F82"/>
    <w:rsid w:val="008C0822"/>
    <w:rsid w:val="008C2CD8"/>
    <w:rsid w:val="008C2DBD"/>
    <w:rsid w:val="008C50EC"/>
    <w:rsid w:val="008C7D35"/>
    <w:rsid w:val="008D3475"/>
    <w:rsid w:val="008D35C6"/>
    <w:rsid w:val="008D7A07"/>
    <w:rsid w:val="008D7A8F"/>
    <w:rsid w:val="008E7BFD"/>
    <w:rsid w:val="0090011D"/>
    <w:rsid w:val="0090322A"/>
    <w:rsid w:val="00910D3C"/>
    <w:rsid w:val="00912D8F"/>
    <w:rsid w:val="0091356C"/>
    <w:rsid w:val="009273D9"/>
    <w:rsid w:val="00930C28"/>
    <w:rsid w:val="00931E2F"/>
    <w:rsid w:val="0093516F"/>
    <w:rsid w:val="00940BAC"/>
    <w:rsid w:val="0094361D"/>
    <w:rsid w:val="00945461"/>
    <w:rsid w:val="00951671"/>
    <w:rsid w:val="00951B44"/>
    <w:rsid w:val="00951DD5"/>
    <w:rsid w:val="00951EF3"/>
    <w:rsid w:val="009521FA"/>
    <w:rsid w:val="00956EF9"/>
    <w:rsid w:val="00964259"/>
    <w:rsid w:val="009644A7"/>
    <w:rsid w:val="00966B03"/>
    <w:rsid w:val="00972E2D"/>
    <w:rsid w:val="00976940"/>
    <w:rsid w:val="009837D7"/>
    <w:rsid w:val="00986E24"/>
    <w:rsid w:val="00990D8F"/>
    <w:rsid w:val="0099278A"/>
    <w:rsid w:val="00993E67"/>
    <w:rsid w:val="009A193C"/>
    <w:rsid w:val="009A234B"/>
    <w:rsid w:val="009A7DC3"/>
    <w:rsid w:val="009B0F55"/>
    <w:rsid w:val="009B1924"/>
    <w:rsid w:val="009C1FA2"/>
    <w:rsid w:val="009C2FD6"/>
    <w:rsid w:val="009C3399"/>
    <w:rsid w:val="009C481F"/>
    <w:rsid w:val="009D0342"/>
    <w:rsid w:val="009D3227"/>
    <w:rsid w:val="009D33EB"/>
    <w:rsid w:val="009D40C4"/>
    <w:rsid w:val="009D4FC7"/>
    <w:rsid w:val="009E472D"/>
    <w:rsid w:val="009F0074"/>
    <w:rsid w:val="009F04DE"/>
    <w:rsid w:val="009F1B95"/>
    <w:rsid w:val="009F4255"/>
    <w:rsid w:val="009F7F0B"/>
    <w:rsid w:val="00A036E1"/>
    <w:rsid w:val="00A04CB1"/>
    <w:rsid w:val="00A0569B"/>
    <w:rsid w:val="00A14D15"/>
    <w:rsid w:val="00A22F61"/>
    <w:rsid w:val="00A24498"/>
    <w:rsid w:val="00A30536"/>
    <w:rsid w:val="00A36E2F"/>
    <w:rsid w:val="00A37813"/>
    <w:rsid w:val="00A400C5"/>
    <w:rsid w:val="00A44B1D"/>
    <w:rsid w:val="00A4772E"/>
    <w:rsid w:val="00A5026C"/>
    <w:rsid w:val="00A5162C"/>
    <w:rsid w:val="00A52E63"/>
    <w:rsid w:val="00A5373E"/>
    <w:rsid w:val="00A56D25"/>
    <w:rsid w:val="00A575B5"/>
    <w:rsid w:val="00A65F26"/>
    <w:rsid w:val="00A7668C"/>
    <w:rsid w:val="00A76A3E"/>
    <w:rsid w:val="00A81660"/>
    <w:rsid w:val="00A87432"/>
    <w:rsid w:val="00A90A58"/>
    <w:rsid w:val="00A927ED"/>
    <w:rsid w:val="00AA282B"/>
    <w:rsid w:val="00AA7513"/>
    <w:rsid w:val="00AB01CE"/>
    <w:rsid w:val="00AD0B3B"/>
    <w:rsid w:val="00AD54B4"/>
    <w:rsid w:val="00AE3D48"/>
    <w:rsid w:val="00AF6779"/>
    <w:rsid w:val="00B0371F"/>
    <w:rsid w:val="00B12E7D"/>
    <w:rsid w:val="00B1374A"/>
    <w:rsid w:val="00B152EB"/>
    <w:rsid w:val="00B1535D"/>
    <w:rsid w:val="00B157DD"/>
    <w:rsid w:val="00B158A2"/>
    <w:rsid w:val="00B15C53"/>
    <w:rsid w:val="00B172E6"/>
    <w:rsid w:val="00B22491"/>
    <w:rsid w:val="00B23C28"/>
    <w:rsid w:val="00B24381"/>
    <w:rsid w:val="00B25F72"/>
    <w:rsid w:val="00B27364"/>
    <w:rsid w:val="00B275F5"/>
    <w:rsid w:val="00B414B6"/>
    <w:rsid w:val="00B4279B"/>
    <w:rsid w:val="00B4463E"/>
    <w:rsid w:val="00B44FA0"/>
    <w:rsid w:val="00B51400"/>
    <w:rsid w:val="00B528FE"/>
    <w:rsid w:val="00B55DD1"/>
    <w:rsid w:val="00B57DBE"/>
    <w:rsid w:val="00B620CE"/>
    <w:rsid w:val="00B63EFF"/>
    <w:rsid w:val="00B66C96"/>
    <w:rsid w:val="00B73D9B"/>
    <w:rsid w:val="00B7648C"/>
    <w:rsid w:val="00B82355"/>
    <w:rsid w:val="00B85F35"/>
    <w:rsid w:val="00B87FC3"/>
    <w:rsid w:val="00B92703"/>
    <w:rsid w:val="00BA0775"/>
    <w:rsid w:val="00BA18EB"/>
    <w:rsid w:val="00BA60FA"/>
    <w:rsid w:val="00BB7000"/>
    <w:rsid w:val="00BC323E"/>
    <w:rsid w:val="00BD2F5F"/>
    <w:rsid w:val="00BD3348"/>
    <w:rsid w:val="00BD398B"/>
    <w:rsid w:val="00BD5068"/>
    <w:rsid w:val="00BD68A3"/>
    <w:rsid w:val="00BE0D22"/>
    <w:rsid w:val="00BE338B"/>
    <w:rsid w:val="00BF0012"/>
    <w:rsid w:val="00BF02D5"/>
    <w:rsid w:val="00BF2A9A"/>
    <w:rsid w:val="00BF3408"/>
    <w:rsid w:val="00BF42A1"/>
    <w:rsid w:val="00C10874"/>
    <w:rsid w:val="00C11093"/>
    <w:rsid w:val="00C151FE"/>
    <w:rsid w:val="00C15CC1"/>
    <w:rsid w:val="00C17763"/>
    <w:rsid w:val="00C24BE4"/>
    <w:rsid w:val="00C2674F"/>
    <w:rsid w:val="00C326EA"/>
    <w:rsid w:val="00C33B21"/>
    <w:rsid w:val="00C341AF"/>
    <w:rsid w:val="00C36ED7"/>
    <w:rsid w:val="00C433CD"/>
    <w:rsid w:val="00C500A9"/>
    <w:rsid w:val="00C516D0"/>
    <w:rsid w:val="00C53B0A"/>
    <w:rsid w:val="00C53E67"/>
    <w:rsid w:val="00C540DB"/>
    <w:rsid w:val="00C55933"/>
    <w:rsid w:val="00C561AF"/>
    <w:rsid w:val="00C625AB"/>
    <w:rsid w:val="00C6334E"/>
    <w:rsid w:val="00C669B4"/>
    <w:rsid w:val="00C671F8"/>
    <w:rsid w:val="00C70D82"/>
    <w:rsid w:val="00C73896"/>
    <w:rsid w:val="00C73F4D"/>
    <w:rsid w:val="00C74CC1"/>
    <w:rsid w:val="00C90364"/>
    <w:rsid w:val="00C9334F"/>
    <w:rsid w:val="00CA1A51"/>
    <w:rsid w:val="00CA591F"/>
    <w:rsid w:val="00CA72A0"/>
    <w:rsid w:val="00CA7E6D"/>
    <w:rsid w:val="00CB52D4"/>
    <w:rsid w:val="00CC2E54"/>
    <w:rsid w:val="00CC5012"/>
    <w:rsid w:val="00CD10F2"/>
    <w:rsid w:val="00CD17CD"/>
    <w:rsid w:val="00CD2032"/>
    <w:rsid w:val="00CE019F"/>
    <w:rsid w:val="00CE54B1"/>
    <w:rsid w:val="00CF5977"/>
    <w:rsid w:val="00D01844"/>
    <w:rsid w:val="00D03595"/>
    <w:rsid w:val="00D03A2A"/>
    <w:rsid w:val="00D03B42"/>
    <w:rsid w:val="00D04E9E"/>
    <w:rsid w:val="00D05B46"/>
    <w:rsid w:val="00D07027"/>
    <w:rsid w:val="00D07ED8"/>
    <w:rsid w:val="00D265C7"/>
    <w:rsid w:val="00D31B16"/>
    <w:rsid w:val="00D331DD"/>
    <w:rsid w:val="00D33DC4"/>
    <w:rsid w:val="00D46016"/>
    <w:rsid w:val="00D46C64"/>
    <w:rsid w:val="00D52C51"/>
    <w:rsid w:val="00D57D45"/>
    <w:rsid w:val="00D609C7"/>
    <w:rsid w:val="00D63985"/>
    <w:rsid w:val="00D63CD1"/>
    <w:rsid w:val="00D64979"/>
    <w:rsid w:val="00D653EA"/>
    <w:rsid w:val="00D677BA"/>
    <w:rsid w:val="00D719CD"/>
    <w:rsid w:val="00D71FEF"/>
    <w:rsid w:val="00D7221C"/>
    <w:rsid w:val="00D72B0C"/>
    <w:rsid w:val="00D74661"/>
    <w:rsid w:val="00D834B3"/>
    <w:rsid w:val="00D83970"/>
    <w:rsid w:val="00D853A4"/>
    <w:rsid w:val="00D85612"/>
    <w:rsid w:val="00D8620F"/>
    <w:rsid w:val="00D865F7"/>
    <w:rsid w:val="00D94940"/>
    <w:rsid w:val="00D95436"/>
    <w:rsid w:val="00D95E11"/>
    <w:rsid w:val="00D97A55"/>
    <w:rsid w:val="00DA1BE4"/>
    <w:rsid w:val="00DA2515"/>
    <w:rsid w:val="00DA5C50"/>
    <w:rsid w:val="00DA6DA0"/>
    <w:rsid w:val="00DB1E2F"/>
    <w:rsid w:val="00DB40D0"/>
    <w:rsid w:val="00DB604E"/>
    <w:rsid w:val="00DC3BDA"/>
    <w:rsid w:val="00DC43A7"/>
    <w:rsid w:val="00DD081E"/>
    <w:rsid w:val="00DD539D"/>
    <w:rsid w:val="00DE1579"/>
    <w:rsid w:val="00DE38B2"/>
    <w:rsid w:val="00DE5C49"/>
    <w:rsid w:val="00DF1AFE"/>
    <w:rsid w:val="00DF7506"/>
    <w:rsid w:val="00E010DC"/>
    <w:rsid w:val="00E034C8"/>
    <w:rsid w:val="00E1012F"/>
    <w:rsid w:val="00E116D9"/>
    <w:rsid w:val="00E12109"/>
    <w:rsid w:val="00E12467"/>
    <w:rsid w:val="00E14D01"/>
    <w:rsid w:val="00E1543D"/>
    <w:rsid w:val="00E20F73"/>
    <w:rsid w:val="00E23689"/>
    <w:rsid w:val="00E25CA3"/>
    <w:rsid w:val="00E32C90"/>
    <w:rsid w:val="00E33869"/>
    <w:rsid w:val="00E36644"/>
    <w:rsid w:val="00E400C5"/>
    <w:rsid w:val="00E42622"/>
    <w:rsid w:val="00E4776B"/>
    <w:rsid w:val="00E47770"/>
    <w:rsid w:val="00E529CF"/>
    <w:rsid w:val="00E53FD4"/>
    <w:rsid w:val="00E572AE"/>
    <w:rsid w:val="00E6054E"/>
    <w:rsid w:val="00E61E46"/>
    <w:rsid w:val="00E62779"/>
    <w:rsid w:val="00E7202B"/>
    <w:rsid w:val="00E72422"/>
    <w:rsid w:val="00E7280E"/>
    <w:rsid w:val="00E8443F"/>
    <w:rsid w:val="00E9039C"/>
    <w:rsid w:val="00E9156A"/>
    <w:rsid w:val="00EA1D1D"/>
    <w:rsid w:val="00EA3E37"/>
    <w:rsid w:val="00EA41AD"/>
    <w:rsid w:val="00EB0FFF"/>
    <w:rsid w:val="00EB4828"/>
    <w:rsid w:val="00EB6B9E"/>
    <w:rsid w:val="00EC11C1"/>
    <w:rsid w:val="00ED47B0"/>
    <w:rsid w:val="00ED7687"/>
    <w:rsid w:val="00EE2282"/>
    <w:rsid w:val="00EE2545"/>
    <w:rsid w:val="00EE47BD"/>
    <w:rsid w:val="00EE687A"/>
    <w:rsid w:val="00F01E57"/>
    <w:rsid w:val="00F10838"/>
    <w:rsid w:val="00F12181"/>
    <w:rsid w:val="00F1432C"/>
    <w:rsid w:val="00F14751"/>
    <w:rsid w:val="00F16DFF"/>
    <w:rsid w:val="00F201C5"/>
    <w:rsid w:val="00F20EEE"/>
    <w:rsid w:val="00F26930"/>
    <w:rsid w:val="00F340FA"/>
    <w:rsid w:val="00F34CC5"/>
    <w:rsid w:val="00F406D6"/>
    <w:rsid w:val="00F50FC4"/>
    <w:rsid w:val="00F51699"/>
    <w:rsid w:val="00F61CE1"/>
    <w:rsid w:val="00F620C3"/>
    <w:rsid w:val="00F62770"/>
    <w:rsid w:val="00F63248"/>
    <w:rsid w:val="00F64E77"/>
    <w:rsid w:val="00F70320"/>
    <w:rsid w:val="00F74701"/>
    <w:rsid w:val="00F80E65"/>
    <w:rsid w:val="00F830C7"/>
    <w:rsid w:val="00F87A5C"/>
    <w:rsid w:val="00F90308"/>
    <w:rsid w:val="00FA18B8"/>
    <w:rsid w:val="00FA2BE5"/>
    <w:rsid w:val="00FA70FB"/>
    <w:rsid w:val="00FA78BD"/>
    <w:rsid w:val="00FA7B3B"/>
    <w:rsid w:val="00FA7C7A"/>
    <w:rsid w:val="00FB03B0"/>
    <w:rsid w:val="00FB0412"/>
    <w:rsid w:val="00FB05ED"/>
    <w:rsid w:val="00FB39F2"/>
    <w:rsid w:val="00FB4315"/>
    <w:rsid w:val="00FB4393"/>
    <w:rsid w:val="00FB7288"/>
    <w:rsid w:val="00FC2BE0"/>
    <w:rsid w:val="00FC7B02"/>
    <w:rsid w:val="00FD6ED7"/>
    <w:rsid w:val="00FE4F0B"/>
    <w:rsid w:val="00FE58FE"/>
    <w:rsid w:val="00FF016D"/>
    <w:rsid w:val="00FF2C9C"/>
    <w:rsid w:val="00FF4AD7"/>
    <w:rsid w:val="00FF5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B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72B0C"/>
  </w:style>
  <w:style w:type="paragraph" w:styleId="a5">
    <w:name w:val="footer"/>
    <w:basedOn w:val="a"/>
    <w:link w:val="a6"/>
    <w:uiPriority w:val="99"/>
    <w:unhideWhenUsed/>
    <w:rsid w:val="00D72B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72B0C"/>
  </w:style>
  <w:style w:type="character" w:customStyle="1" w:styleId="apple-converted-space">
    <w:name w:val="apple-converted-space"/>
    <w:basedOn w:val="a0"/>
    <w:rsid w:val="00BC323E"/>
  </w:style>
  <w:style w:type="character" w:styleId="a7">
    <w:name w:val="Strong"/>
    <w:basedOn w:val="a0"/>
    <w:uiPriority w:val="22"/>
    <w:qFormat/>
    <w:rsid w:val="007D3BB3"/>
    <w:rPr>
      <w:b/>
      <w:bCs/>
    </w:rPr>
  </w:style>
  <w:style w:type="paragraph" w:styleId="a8">
    <w:name w:val="Normal (Web)"/>
    <w:basedOn w:val="a"/>
    <w:uiPriority w:val="99"/>
    <w:rsid w:val="00681151"/>
    <w:pPr>
      <w:spacing w:before="100" w:beforeAutospacing="1" w:after="100" w:afterAutospacing="1" w:line="240" w:lineRule="auto"/>
    </w:pPr>
    <w:rPr>
      <w:rFonts w:ascii="Times New Roman" w:eastAsia="Times New Roman" w:hAnsi="Times New Roman"/>
      <w:sz w:val="24"/>
      <w:szCs w:val="24"/>
    </w:rPr>
  </w:style>
  <w:style w:type="character" w:styleId="a9">
    <w:name w:val="Emphasis"/>
    <w:basedOn w:val="a0"/>
    <w:qFormat/>
    <w:rsid w:val="00F26930"/>
    <w:rPr>
      <w:i/>
      <w:iCs/>
    </w:rPr>
  </w:style>
  <w:style w:type="character" w:styleId="aa">
    <w:name w:val="page number"/>
    <w:basedOn w:val="a0"/>
    <w:rsid w:val="002F66F0"/>
  </w:style>
  <w:style w:type="paragraph" w:styleId="ab">
    <w:name w:val="No Spacing"/>
    <w:aliases w:val="DAİM"/>
    <w:link w:val="ac"/>
    <w:uiPriority w:val="1"/>
    <w:qFormat/>
    <w:rsid w:val="0091356C"/>
    <w:rPr>
      <w:rFonts w:eastAsia="Calibri"/>
      <w:sz w:val="22"/>
      <w:szCs w:val="22"/>
      <w:lang w:eastAsia="en-US"/>
    </w:rPr>
  </w:style>
  <w:style w:type="character" w:customStyle="1" w:styleId="ac">
    <w:name w:val="Без интервала Знак"/>
    <w:aliases w:val="DAİM Знак"/>
    <w:link w:val="ab"/>
    <w:uiPriority w:val="1"/>
    <w:locked/>
    <w:rsid w:val="0091356C"/>
    <w:rPr>
      <w:rFonts w:eastAsia="Calibri"/>
      <w:sz w:val="22"/>
      <w:szCs w:val="22"/>
      <w:lang w:eastAsia="en-US" w:bidi="ar-SA"/>
    </w:rPr>
  </w:style>
  <w:style w:type="character" w:customStyle="1" w:styleId="3oh-">
    <w:name w:val="_3oh-"/>
    <w:basedOn w:val="a0"/>
    <w:rsid w:val="00D85612"/>
  </w:style>
  <w:style w:type="character" w:customStyle="1" w:styleId="4kf5">
    <w:name w:val="_4kf5"/>
    <w:basedOn w:val="a0"/>
    <w:rsid w:val="00D85612"/>
  </w:style>
  <w:style w:type="character" w:customStyle="1" w:styleId="Bodytext2">
    <w:name w:val="Body text (2)_"/>
    <w:basedOn w:val="a0"/>
    <w:rsid w:val="00841CC3"/>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basedOn w:val="Bodytext2"/>
    <w:rsid w:val="00841CC3"/>
    <w:rPr>
      <w:color w:val="000000"/>
      <w:spacing w:val="0"/>
      <w:w w:val="100"/>
      <w:position w:val="0"/>
      <w:u w:val="single"/>
    </w:rPr>
  </w:style>
  <w:style w:type="character" w:styleId="ad">
    <w:name w:val="endnote reference"/>
    <w:basedOn w:val="a0"/>
    <w:uiPriority w:val="99"/>
    <w:semiHidden/>
    <w:unhideWhenUsed/>
    <w:rsid w:val="002C2AF1"/>
  </w:style>
  <w:style w:type="character" w:customStyle="1" w:styleId="Bodytext2Italic">
    <w:name w:val="Body text (2) + Italic"/>
    <w:basedOn w:val="Bodytext2"/>
    <w:rsid w:val="00FB4393"/>
    <w:rPr>
      <w:i/>
      <w:iCs/>
      <w:color w:val="000000"/>
      <w:spacing w:val="0"/>
      <w:w w:val="100"/>
      <w:position w:val="0"/>
    </w:rPr>
  </w:style>
  <w:style w:type="paragraph" w:customStyle="1" w:styleId="ametn">
    <w:name w:val="ametn"/>
    <w:basedOn w:val="ae"/>
    <w:rsid w:val="008A77BF"/>
    <w:pPr>
      <w:spacing w:after="0" w:line="240" w:lineRule="auto"/>
      <w:ind w:firstLine="567"/>
      <w:jc w:val="both"/>
    </w:pPr>
    <w:rPr>
      <w:rFonts w:ascii="Times New Roman" w:eastAsia="Times New Roman" w:hAnsi="Times New Roman"/>
      <w:sz w:val="28"/>
      <w:lang w:val="az-Latn-AZ"/>
    </w:rPr>
  </w:style>
  <w:style w:type="paragraph" w:styleId="ae">
    <w:name w:val="Plain Text"/>
    <w:basedOn w:val="a"/>
    <w:link w:val="af"/>
    <w:uiPriority w:val="99"/>
    <w:semiHidden/>
    <w:unhideWhenUsed/>
    <w:rsid w:val="008A77BF"/>
    <w:rPr>
      <w:rFonts w:ascii="Courier New" w:hAnsi="Courier New" w:cs="Courier New"/>
      <w:sz w:val="20"/>
      <w:szCs w:val="20"/>
    </w:rPr>
  </w:style>
  <w:style w:type="character" w:customStyle="1" w:styleId="af">
    <w:name w:val="Текст Знак"/>
    <w:basedOn w:val="a0"/>
    <w:link w:val="ae"/>
    <w:uiPriority w:val="99"/>
    <w:semiHidden/>
    <w:rsid w:val="008A77BF"/>
    <w:rPr>
      <w:rFonts w:ascii="Courier New" w:hAnsi="Courier New" w:cs="Courier New"/>
      <w:lang w:val="en-US" w:eastAsia="en-US"/>
    </w:rPr>
  </w:style>
  <w:style w:type="paragraph" w:customStyle="1" w:styleId="amadde">
    <w:name w:val="amadde"/>
    <w:basedOn w:val="a"/>
    <w:rsid w:val="00ED47B0"/>
    <w:pPr>
      <w:spacing w:before="240" w:after="240" w:line="240" w:lineRule="auto"/>
      <w:ind w:left="1928" w:hanging="1361"/>
    </w:pPr>
    <w:rPr>
      <w:rFonts w:ascii="Times New Roman" w:eastAsia="Times New Roman" w:hAnsi="Times New Roman" w:cs="Courier New"/>
      <w:b/>
      <w:sz w:val="28"/>
      <w:szCs w:val="20"/>
      <w:lang w:val="az-Latn-AZ"/>
    </w:rPr>
  </w:style>
</w:styles>
</file>

<file path=word/webSettings.xml><?xml version="1.0" encoding="utf-8"?>
<w:webSettings xmlns:r="http://schemas.openxmlformats.org/officeDocument/2006/relationships" xmlns:w="http://schemas.openxmlformats.org/wordprocessingml/2006/main">
  <w:divs>
    <w:div w:id="206532801">
      <w:bodyDiv w:val="1"/>
      <w:marLeft w:val="0"/>
      <w:marRight w:val="0"/>
      <w:marTop w:val="0"/>
      <w:marBottom w:val="0"/>
      <w:divBdr>
        <w:top w:val="none" w:sz="0" w:space="0" w:color="auto"/>
        <w:left w:val="none" w:sz="0" w:space="0" w:color="auto"/>
        <w:bottom w:val="none" w:sz="0" w:space="0" w:color="auto"/>
        <w:right w:val="none" w:sz="0" w:space="0" w:color="auto"/>
      </w:divBdr>
    </w:div>
    <w:div w:id="315498116">
      <w:bodyDiv w:val="1"/>
      <w:marLeft w:val="0"/>
      <w:marRight w:val="0"/>
      <w:marTop w:val="0"/>
      <w:marBottom w:val="0"/>
      <w:divBdr>
        <w:top w:val="none" w:sz="0" w:space="0" w:color="auto"/>
        <w:left w:val="none" w:sz="0" w:space="0" w:color="auto"/>
        <w:bottom w:val="none" w:sz="0" w:space="0" w:color="auto"/>
        <w:right w:val="none" w:sz="0" w:space="0" w:color="auto"/>
      </w:divBdr>
    </w:div>
    <w:div w:id="478037139">
      <w:bodyDiv w:val="1"/>
      <w:marLeft w:val="0"/>
      <w:marRight w:val="0"/>
      <w:marTop w:val="0"/>
      <w:marBottom w:val="0"/>
      <w:divBdr>
        <w:top w:val="none" w:sz="0" w:space="0" w:color="auto"/>
        <w:left w:val="none" w:sz="0" w:space="0" w:color="auto"/>
        <w:bottom w:val="none" w:sz="0" w:space="0" w:color="auto"/>
        <w:right w:val="none" w:sz="0" w:space="0" w:color="auto"/>
      </w:divBdr>
      <w:divsChild>
        <w:div w:id="647827191">
          <w:marLeft w:val="0"/>
          <w:marRight w:val="0"/>
          <w:marTop w:val="0"/>
          <w:marBottom w:val="0"/>
          <w:divBdr>
            <w:top w:val="none" w:sz="0" w:space="0" w:color="auto"/>
            <w:left w:val="none" w:sz="0" w:space="0" w:color="auto"/>
            <w:bottom w:val="none" w:sz="0" w:space="0" w:color="auto"/>
            <w:right w:val="none" w:sz="0" w:space="0" w:color="auto"/>
          </w:divBdr>
          <w:divsChild>
            <w:div w:id="382801252">
              <w:marLeft w:val="0"/>
              <w:marRight w:val="0"/>
              <w:marTop w:val="0"/>
              <w:marBottom w:val="225"/>
              <w:divBdr>
                <w:top w:val="none" w:sz="0" w:space="0" w:color="auto"/>
                <w:left w:val="none" w:sz="0" w:space="0" w:color="auto"/>
                <w:bottom w:val="none" w:sz="0" w:space="0" w:color="auto"/>
                <w:right w:val="none" w:sz="0" w:space="0" w:color="auto"/>
              </w:divBdr>
              <w:divsChild>
                <w:div w:id="675156760">
                  <w:marLeft w:val="540"/>
                  <w:marRight w:val="0"/>
                  <w:marTop w:val="0"/>
                  <w:marBottom w:val="0"/>
                  <w:divBdr>
                    <w:top w:val="none" w:sz="0" w:space="0" w:color="auto"/>
                    <w:left w:val="none" w:sz="0" w:space="0" w:color="auto"/>
                    <w:bottom w:val="none" w:sz="0" w:space="0" w:color="auto"/>
                    <w:right w:val="none" w:sz="0" w:space="0" w:color="auto"/>
                  </w:divBdr>
                  <w:divsChild>
                    <w:div w:id="654801506">
                      <w:marLeft w:val="0"/>
                      <w:marRight w:val="0"/>
                      <w:marTop w:val="15"/>
                      <w:marBottom w:val="15"/>
                      <w:divBdr>
                        <w:top w:val="none" w:sz="0" w:space="0" w:color="auto"/>
                        <w:left w:val="none" w:sz="0" w:space="0" w:color="auto"/>
                        <w:bottom w:val="none" w:sz="0" w:space="0" w:color="auto"/>
                        <w:right w:val="none" w:sz="0" w:space="0" w:color="auto"/>
                      </w:divBdr>
                      <w:divsChild>
                        <w:div w:id="764039615">
                          <w:marLeft w:val="0"/>
                          <w:marRight w:val="0"/>
                          <w:marTop w:val="0"/>
                          <w:marBottom w:val="0"/>
                          <w:divBdr>
                            <w:top w:val="none" w:sz="0" w:space="0" w:color="auto"/>
                            <w:left w:val="none" w:sz="0" w:space="0" w:color="auto"/>
                            <w:bottom w:val="none" w:sz="0" w:space="0" w:color="auto"/>
                            <w:right w:val="none" w:sz="0" w:space="0" w:color="auto"/>
                          </w:divBdr>
                          <w:divsChild>
                            <w:div w:id="1275596438">
                              <w:marLeft w:val="0"/>
                              <w:marRight w:val="0"/>
                              <w:marTop w:val="0"/>
                              <w:marBottom w:val="0"/>
                              <w:divBdr>
                                <w:top w:val="none" w:sz="0" w:space="0" w:color="auto"/>
                                <w:left w:val="none" w:sz="0" w:space="0" w:color="auto"/>
                                <w:bottom w:val="none" w:sz="0" w:space="0" w:color="auto"/>
                                <w:right w:val="none" w:sz="0" w:space="0" w:color="auto"/>
                              </w:divBdr>
                            </w:div>
                          </w:divsChild>
                        </w:div>
                        <w:div w:id="9131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4218">
          <w:marLeft w:val="0"/>
          <w:marRight w:val="0"/>
          <w:marTop w:val="0"/>
          <w:marBottom w:val="0"/>
          <w:divBdr>
            <w:top w:val="none" w:sz="0" w:space="0" w:color="auto"/>
            <w:left w:val="none" w:sz="0" w:space="0" w:color="auto"/>
            <w:bottom w:val="none" w:sz="0" w:space="0" w:color="auto"/>
            <w:right w:val="none" w:sz="0" w:space="0" w:color="auto"/>
          </w:divBdr>
          <w:divsChild>
            <w:div w:id="1593270687">
              <w:marLeft w:val="0"/>
              <w:marRight w:val="0"/>
              <w:marTop w:val="0"/>
              <w:marBottom w:val="225"/>
              <w:divBdr>
                <w:top w:val="none" w:sz="0" w:space="0" w:color="auto"/>
                <w:left w:val="none" w:sz="0" w:space="0" w:color="auto"/>
                <w:bottom w:val="none" w:sz="0" w:space="0" w:color="auto"/>
                <w:right w:val="none" w:sz="0" w:space="0" w:color="auto"/>
              </w:divBdr>
              <w:divsChild>
                <w:div w:id="1024212407">
                  <w:marLeft w:val="0"/>
                  <w:marRight w:val="0"/>
                  <w:marTop w:val="0"/>
                  <w:marBottom w:val="0"/>
                  <w:divBdr>
                    <w:top w:val="none" w:sz="0" w:space="0" w:color="auto"/>
                    <w:left w:val="none" w:sz="0" w:space="0" w:color="auto"/>
                    <w:bottom w:val="none" w:sz="0" w:space="0" w:color="auto"/>
                    <w:right w:val="none" w:sz="0" w:space="0" w:color="auto"/>
                  </w:divBdr>
                  <w:divsChild>
                    <w:div w:id="123080313">
                      <w:marLeft w:val="0"/>
                      <w:marRight w:val="0"/>
                      <w:marTop w:val="0"/>
                      <w:marBottom w:val="0"/>
                      <w:divBdr>
                        <w:top w:val="none" w:sz="0" w:space="0" w:color="auto"/>
                        <w:left w:val="none" w:sz="0" w:space="0" w:color="auto"/>
                        <w:bottom w:val="none" w:sz="0" w:space="0" w:color="auto"/>
                        <w:right w:val="none" w:sz="0" w:space="0" w:color="auto"/>
                      </w:divBdr>
                      <w:divsChild>
                        <w:div w:id="1574506530">
                          <w:marLeft w:val="0"/>
                          <w:marRight w:val="0"/>
                          <w:marTop w:val="0"/>
                          <w:marBottom w:val="0"/>
                          <w:divBdr>
                            <w:top w:val="none" w:sz="0" w:space="0" w:color="auto"/>
                            <w:left w:val="none" w:sz="0" w:space="0" w:color="auto"/>
                            <w:bottom w:val="none" w:sz="0" w:space="0" w:color="auto"/>
                            <w:right w:val="none" w:sz="0" w:space="0" w:color="auto"/>
                          </w:divBdr>
                          <w:divsChild>
                            <w:div w:id="8966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819">
                  <w:marLeft w:val="540"/>
                  <w:marRight w:val="0"/>
                  <w:marTop w:val="0"/>
                  <w:marBottom w:val="0"/>
                  <w:divBdr>
                    <w:top w:val="none" w:sz="0" w:space="0" w:color="auto"/>
                    <w:left w:val="none" w:sz="0" w:space="0" w:color="auto"/>
                    <w:bottom w:val="none" w:sz="0" w:space="0" w:color="auto"/>
                    <w:right w:val="none" w:sz="0" w:space="0" w:color="auto"/>
                  </w:divBdr>
                  <w:divsChild>
                    <w:div w:id="877856877">
                      <w:marLeft w:val="0"/>
                      <w:marRight w:val="0"/>
                      <w:marTop w:val="15"/>
                      <w:marBottom w:val="15"/>
                      <w:divBdr>
                        <w:top w:val="none" w:sz="0" w:space="0" w:color="auto"/>
                        <w:left w:val="none" w:sz="0" w:space="0" w:color="auto"/>
                        <w:bottom w:val="none" w:sz="0" w:space="0" w:color="auto"/>
                        <w:right w:val="none" w:sz="0" w:space="0" w:color="auto"/>
                      </w:divBdr>
                      <w:divsChild>
                        <w:div w:id="8111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71817">
          <w:marLeft w:val="0"/>
          <w:marRight w:val="0"/>
          <w:marTop w:val="0"/>
          <w:marBottom w:val="0"/>
          <w:divBdr>
            <w:top w:val="none" w:sz="0" w:space="0" w:color="auto"/>
            <w:left w:val="none" w:sz="0" w:space="0" w:color="auto"/>
            <w:bottom w:val="none" w:sz="0" w:space="0" w:color="auto"/>
            <w:right w:val="none" w:sz="0" w:space="0" w:color="auto"/>
          </w:divBdr>
          <w:divsChild>
            <w:div w:id="16588027">
              <w:marLeft w:val="0"/>
              <w:marRight w:val="0"/>
              <w:marTop w:val="0"/>
              <w:marBottom w:val="225"/>
              <w:divBdr>
                <w:top w:val="none" w:sz="0" w:space="0" w:color="auto"/>
                <w:left w:val="none" w:sz="0" w:space="0" w:color="auto"/>
                <w:bottom w:val="none" w:sz="0" w:space="0" w:color="auto"/>
                <w:right w:val="none" w:sz="0" w:space="0" w:color="auto"/>
              </w:divBdr>
              <w:divsChild>
                <w:div w:id="1058436184">
                  <w:marLeft w:val="540"/>
                  <w:marRight w:val="0"/>
                  <w:marTop w:val="0"/>
                  <w:marBottom w:val="0"/>
                  <w:divBdr>
                    <w:top w:val="none" w:sz="0" w:space="0" w:color="auto"/>
                    <w:left w:val="none" w:sz="0" w:space="0" w:color="auto"/>
                    <w:bottom w:val="none" w:sz="0" w:space="0" w:color="auto"/>
                    <w:right w:val="none" w:sz="0" w:space="0" w:color="auto"/>
                  </w:divBdr>
                  <w:divsChild>
                    <w:div w:id="401219007">
                      <w:marLeft w:val="0"/>
                      <w:marRight w:val="0"/>
                      <w:marTop w:val="15"/>
                      <w:marBottom w:val="15"/>
                      <w:divBdr>
                        <w:top w:val="none" w:sz="0" w:space="0" w:color="auto"/>
                        <w:left w:val="none" w:sz="0" w:space="0" w:color="auto"/>
                        <w:bottom w:val="none" w:sz="0" w:space="0" w:color="auto"/>
                        <w:right w:val="none" w:sz="0" w:space="0" w:color="auto"/>
                      </w:divBdr>
                      <w:divsChild>
                        <w:div w:id="15165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9751">
                  <w:marLeft w:val="0"/>
                  <w:marRight w:val="0"/>
                  <w:marTop w:val="0"/>
                  <w:marBottom w:val="0"/>
                  <w:divBdr>
                    <w:top w:val="none" w:sz="0" w:space="0" w:color="auto"/>
                    <w:left w:val="none" w:sz="0" w:space="0" w:color="auto"/>
                    <w:bottom w:val="none" w:sz="0" w:space="0" w:color="auto"/>
                    <w:right w:val="none" w:sz="0" w:space="0" w:color="auto"/>
                  </w:divBdr>
                  <w:divsChild>
                    <w:div w:id="182206732">
                      <w:marLeft w:val="0"/>
                      <w:marRight w:val="0"/>
                      <w:marTop w:val="0"/>
                      <w:marBottom w:val="0"/>
                      <w:divBdr>
                        <w:top w:val="none" w:sz="0" w:space="0" w:color="auto"/>
                        <w:left w:val="none" w:sz="0" w:space="0" w:color="auto"/>
                        <w:bottom w:val="none" w:sz="0" w:space="0" w:color="auto"/>
                        <w:right w:val="none" w:sz="0" w:space="0" w:color="auto"/>
                      </w:divBdr>
                      <w:divsChild>
                        <w:div w:id="537591851">
                          <w:marLeft w:val="0"/>
                          <w:marRight w:val="0"/>
                          <w:marTop w:val="0"/>
                          <w:marBottom w:val="0"/>
                          <w:divBdr>
                            <w:top w:val="none" w:sz="0" w:space="0" w:color="auto"/>
                            <w:left w:val="none" w:sz="0" w:space="0" w:color="auto"/>
                            <w:bottom w:val="none" w:sz="0" w:space="0" w:color="auto"/>
                            <w:right w:val="none" w:sz="0" w:space="0" w:color="auto"/>
                          </w:divBdr>
                          <w:divsChild>
                            <w:div w:id="19576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404477">
          <w:marLeft w:val="0"/>
          <w:marRight w:val="0"/>
          <w:marTop w:val="0"/>
          <w:marBottom w:val="0"/>
          <w:divBdr>
            <w:top w:val="none" w:sz="0" w:space="0" w:color="auto"/>
            <w:left w:val="none" w:sz="0" w:space="0" w:color="auto"/>
            <w:bottom w:val="none" w:sz="0" w:space="0" w:color="auto"/>
            <w:right w:val="none" w:sz="0" w:space="0" w:color="auto"/>
          </w:divBdr>
          <w:divsChild>
            <w:div w:id="585041776">
              <w:marLeft w:val="0"/>
              <w:marRight w:val="0"/>
              <w:marTop w:val="0"/>
              <w:marBottom w:val="225"/>
              <w:divBdr>
                <w:top w:val="none" w:sz="0" w:space="0" w:color="auto"/>
                <w:left w:val="none" w:sz="0" w:space="0" w:color="auto"/>
                <w:bottom w:val="none" w:sz="0" w:space="0" w:color="auto"/>
                <w:right w:val="none" w:sz="0" w:space="0" w:color="auto"/>
              </w:divBdr>
              <w:divsChild>
                <w:div w:id="378866883">
                  <w:marLeft w:val="540"/>
                  <w:marRight w:val="0"/>
                  <w:marTop w:val="0"/>
                  <w:marBottom w:val="0"/>
                  <w:divBdr>
                    <w:top w:val="none" w:sz="0" w:space="0" w:color="auto"/>
                    <w:left w:val="none" w:sz="0" w:space="0" w:color="auto"/>
                    <w:bottom w:val="none" w:sz="0" w:space="0" w:color="auto"/>
                    <w:right w:val="none" w:sz="0" w:space="0" w:color="auto"/>
                  </w:divBdr>
                  <w:divsChild>
                    <w:div w:id="1448812727">
                      <w:marLeft w:val="0"/>
                      <w:marRight w:val="0"/>
                      <w:marTop w:val="15"/>
                      <w:marBottom w:val="15"/>
                      <w:divBdr>
                        <w:top w:val="none" w:sz="0" w:space="0" w:color="auto"/>
                        <w:left w:val="none" w:sz="0" w:space="0" w:color="auto"/>
                        <w:bottom w:val="none" w:sz="0" w:space="0" w:color="auto"/>
                        <w:right w:val="none" w:sz="0" w:space="0" w:color="auto"/>
                      </w:divBdr>
                      <w:divsChild>
                        <w:div w:id="1195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3550">
                  <w:marLeft w:val="0"/>
                  <w:marRight w:val="0"/>
                  <w:marTop w:val="0"/>
                  <w:marBottom w:val="0"/>
                  <w:divBdr>
                    <w:top w:val="none" w:sz="0" w:space="0" w:color="auto"/>
                    <w:left w:val="none" w:sz="0" w:space="0" w:color="auto"/>
                    <w:bottom w:val="none" w:sz="0" w:space="0" w:color="auto"/>
                    <w:right w:val="none" w:sz="0" w:space="0" w:color="auto"/>
                  </w:divBdr>
                  <w:divsChild>
                    <w:div w:id="1899244343">
                      <w:marLeft w:val="0"/>
                      <w:marRight w:val="0"/>
                      <w:marTop w:val="0"/>
                      <w:marBottom w:val="0"/>
                      <w:divBdr>
                        <w:top w:val="none" w:sz="0" w:space="0" w:color="auto"/>
                        <w:left w:val="none" w:sz="0" w:space="0" w:color="auto"/>
                        <w:bottom w:val="none" w:sz="0" w:space="0" w:color="auto"/>
                        <w:right w:val="none" w:sz="0" w:space="0" w:color="auto"/>
                      </w:divBdr>
                      <w:divsChild>
                        <w:div w:id="1415928921">
                          <w:marLeft w:val="0"/>
                          <w:marRight w:val="0"/>
                          <w:marTop w:val="0"/>
                          <w:marBottom w:val="0"/>
                          <w:divBdr>
                            <w:top w:val="none" w:sz="0" w:space="0" w:color="auto"/>
                            <w:left w:val="none" w:sz="0" w:space="0" w:color="auto"/>
                            <w:bottom w:val="none" w:sz="0" w:space="0" w:color="auto"/>
                            <w:right w:val="none" w:sz="0" w:space="0" w:color="auto"/>
                          </w:divBdr>
                          <w:divsChild>
                            <w:div w:id="8374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51523">
      <w:bodyDiv w:val="1"/>
      <w:marLeft w:val="0"/>
      <w:marRight w:val="0"/>
      <w:marTop w:val="0"/>
      <w:marBottom w:val="0"/>
      <w:divBdr>
        <w:top w:val="none" w:sz="0" w:space="0" w:color="auto"/>
        <w:left w:val="none" w:sz="0" w:space="0" w:color="auto"/>
        <w:bottom w:val="none" w:sz="0" w:space="0" w:color="auto"/>
        <w:right w:val="none" w:sz="0" w:space="0" w:color="auto"/>
      </w:divBdr>
    </w:div>
    <w:div w:id="489566101">
      <w:bodyDiv w:val="1"/>
      <w:marLeft w:val="0"/>
      <w:marRight w:val="0"/>
      <w:marTop w:val="0"/>
      <w:marBottom w:val="0"/>
      <w:divBdr>
        <w:top w:val="none" w:sz="0" w:space="0" w:color="auto"/>
        <w:left w:val="none" w:sz="0" w:space="0" w:color="auto"/>
        <w:bottom w:val="none" w:sz="0" w:space="0" w:color="auto"/>
        <w:right w:val="none" w:sz="0" w:space="0" w:color="auto"/>
      </w:divBdr>
    </w:div>
    <w:div w:id="500631640">
      <w:bodyDiv w:val="1"/>
      <w:marLeft w:val="0"/>
      <w:marRight w:val="0"/>
      <w:marTop w:val="0"/>
      <w:marBottom w:val="0"/>
      <w:divBdr>
        <w:top w:val="none" w:sz="0" w:space="0" w:color="auto"/>
        <w:left w:val="none" w:sz="0" w:space="0" w:color="auto"/>
        <w:bottom w:val="none" w:sz="0" w:space="0" w:color="auto"/>
        <w:right w:val="none" w:sz="0" w:space="0" w:color="auto"/>
      </w:divBdr>
      <w:divsChild>
        <w:div w:id="2099398155">
          <w:marLeft w:val="0"/>
          <w:marRight w:val="0"/>
          <w:marTop w:val="0"/>
          <w:marBottom w:val="0"/>
          <w:divBdr>
            <w:top w:val="none" w:sz="0" w:space="0" w:color="auto"/>
            <w:left w:val="none" w:sz="0" w:space="0" w:color="auto"/>
            <w:bottom w:val="none" w:sz="0" w:space="0" w:color="auto"/>
            <w:right w:val="none" w:sz="0" w:space="0" w:color="auto"/>
          </w:divBdr>
        </w:div>
      </w:divsChild>
    </w:div>
    <w:div w:id="603348703">
      <w:bodyDiv w:val="1"/>
      <w:marLeft w:val="0"/>
      <w:marRight w:val="0"/>
      <w:marTop w:val="0"/>
      <w:marBottom w:val="0"/>
      <w:divBdr>
        <w:top w:val="none" w:sz="0" w:space="0" w:color="auto"/>
        <w:left w:val="none" w:sz="0" w:space="0" w:color="auto"/>
        <w:bottom w:val="none" w:sz="0" w:space="0" w:color="auto"/>
        <w:right w:val="none" w:sz="0" w:space="0" w:color="auto"/>
      </w:divBdr>
    </w:div>
    <w:div w:id="658118165">
      <w:bodyDiv w:val="1"/>
      <w:marLeft w:val="0"/>
      <w:marRight w:val="0"/>
      <w:marTop w:val="0"/>
      <w:marBottom w:val="0"/>
      <w:divBdr>
        <w:top w:val="none" w:sz="0" w:space="0" w:color="auto"/>
        <w:left w:val="none" w:sz="0" w:space="0" w:color="auto"/>
        <w:bottom w:val="none" w:sz="0" w:space="0" w:color="auto"/>
        <w:right w:val="none" w:sz="0" w:space="0" w:color="auto"/>
      </w:divBdr>
      <w:divsChild>
        <w:div w:id="563639307">
          <w:marLeft w:val="0"/>
          <w:marRight w:val="0"/>
          <w:marTop w:val="0"/>
          <w:marBottom w:val="120"/>
          <w:divBdr>
            <w:top w:val="none" w:sz="0" w:space="0" w:color="auto"/>
            <w:left w:val="none" w:sz="0" w:space="0" w:color="auto"/>
            <w:bottom w:val="none" w:sz="0" w:space="0" w:color="auto"/>
            <w:right w:val="none" w:sz="0" w:space="0" w:color="auto"/>
          </w:divBdr>
        </w:div>
        <w:div w:id="1979649152">
          <w:marLeft w:val="0"/>
          <w:marRight w:val="0"/>
          <w:marTop w:val="0"/>
          <w:marBottom w:val="120"/>
          <w:divBdr>
            <w:top w:val="none" w:sz="0" w:space="0" w:color="auto"/>
            <w:left w:val="none" w:sz="0" w:space="0" w:color="auto"/>
            <w:bottom w:val="none" w:sz="0" w:space="0" w:color="auto"/>
            <w:right w:val="none" w:sz="0" w:space="0" w:color="auto"/>
          </w:divBdr>
        </w:div>
      </w:divsChild>
    </w:div>
    <w:div w:id="782113051">
      <w:bodyDiv w:val="1"/>
      <w:marLeft w:val="0"/>
      <w:marRight w:val="0"/>
      <w:marTop w:val="0"/>
      <w:marBottom w:val="0"/>
      <w:divBdr>
        <w:top w:val="none" w:sz="0" w:space="0" w:color="auto"/>
        <w:left w:val="none" w:sz="0" w:space="0" w:color="auto"/>
        <w:bottom w:val="none" w:sz="0" w:space="0" w:color="auto"/>
        <w:right w:val="none" w:sz="0" w:space="0" w:color="auto"/>
      </w:divBdr>
    </w:div>
    <w:div w:id="1140920474">
      <w:bodyDiv w:val="1"/>
      <w:marLeft w:val="0"/>
      <w:marRight w:val="0"/>
      <w:marTop w:val="0"/>
      <w:marBottom w:val="0"/>
      <w:divBdr>
        <w:top w:val="none" w:sz="0" w:space="0" w:color="auto"/>
        <w:left w:val="none" w:sz="0" w:space="0" w:color="auto"/>
        <w:bottom w:val="none" w:sz="0" w:space="0" w:color="auto"/>
        <w:right w:val="none" w:sz="0" w:space="0" w:color="auto"/>
      </w:divBdr>
    </w:div>
    <w:div w:id="1150365129">
      <w:bodyDiv w:val="1"/>
      <w:marLeft w:val="0"/>
      <w:marRight w:val="0"/>
      <w:marTop w:val="0"/>
      <w:marBottom w:val="0"/>
      <w:divBdr>
        <w:top w:val="none" w:sz="0" w:space="0" w:color="auto"/>
        <w:left w:val="none" w:sz="0" w:space="0" w:color="auto"/>
        <w:bottom w:val="none" w:sz="0" w:space="0" w:color="auto"/>
        <w:right w:val="none" w:sz="0" w:space="0" w:color="auto"/>
      </w:divBdr>
      <w:divsChild>
        <w:div w:id="289476861">
          <w:marLeft w:val="0"/>
          <w:marRight w:val="0"/>
          <w:marTop w:val="0"/>
          <w:marBottom w:val="0"/>
          <w:divBdr>
            <w:top w:val="none" w:sz="0" w:space="0" w:color="auto"/>
            <w:left w:val="none" w:sz="0" w:space="0" w:color="auto"/>
            <w:bottom w:val="none" w:sz="0" w:space="0" w:color="auto"/>
            <w:right w:val="none" w:sz="0" w:space="0" w:color="auto"/>
          </w:divBdr>
          <w:divsChild>
            <w:div w:id="246230483">
              <w:marLeft w:val="0"/>
              <w:marRight w:val="0"/>
              <w:marTop w:val="0"/>
              <w:marBottom w:val="0"/>
              <w:divBdr>
                <w:top w:val="none" w:sz="0" w:space="0" w:color="auto"/>
                <w:left w:val="single" w:sz="6" w:space="0" w:color="ABBDDA"/>
                <w:bottom w:val="none" w:sz="0" w:space="0" w:color="auto"/>
                <w:right w:val="none" w:sz="0" w:space="0" w:color="auto"/>
              </w:divBdr>
              <w:divsChild>
                <w:div w:id="12771308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664">
      <w:bodyDiv w:val="1"/>
      <w:marLeft w:val="0"/>
      <w:marRight w:val="0"/>
      <w:marTop w:val="0"/>
      <w:marBottom w:val="0"/>
      <w:divBdr>
        <w:top w:val="none" w:sz="0" w:space="0" w:color="auto"/>
        <w:left w:val="none" w:sz="0" w:space="0" w:color="auto"/>
        <w:bottom w:val="none" w:sz="0" w:space="0" w:color="auto"/>
        <w:right w:val="none" w:sz="0" w:space="0" w:color="auto"/>
      </w:divBdr>
    </w:div>
    <w:div w:id="1232081421">
      <w:bodyDiv w:val="1"/>
      <w:marLeft w:val="0"/>
      <w:marRight w:val="0"/>
      <w:marTop w:val="0"/>
      <w:marBottom w:val="0"/>
      <w:divBdr>
        <w:top w:val="none" w:sz="0" w:space="0" w:color="auto"/>
        <w:left w:val="none" w:sz="0" w:space="0" w:color="auto"/>
        <w:bottom w:val="none" w:sz="0" w:space="0" w:color="auto"/>
        <w:right w:val="none" w:sz="0" w:space="0" w:color="auto"/>
      </w:divBdr>
    </w:div>
    <w:div w:id="1354842646">
      <w:bodyDiv w:val="1"/>
      <w:marLeft w:val="0"/>
      <w:marRight w:val="0"/>
      <w:marTop w:val="0"/>
      <w:marBottom w:val="0"/>
      <w:divBdr>
        <w:top w:val="none" w:sz="0" w:space="0" w:color="auto"/>
        <w:left w:val="none" w:sz="0" w:space="0" w:color="auto"/>
        <w:bottom w:val="none" w:sz="0" w:space="0" w:color="auto"/>
        <w:right w:val="none" w:sz="0" w:space="0" w:color="auto"/>
      </w:divBdr>
    </w:div>
    <w:div w:id="1733430532">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821115635">
      <w:bodyDiv w:val="1"/>
      <w:marLeft w:val="0"/>
      <w:marRight w:val="0"/>
      <w:marTop w:val="0"/>
      <w:marBottom w:val="0"/>
      <w:divBdr>
        <w:top w:val="none" w:sz="0" w:space="0" w:color="auto"/>
        <w:left w:val="none" w:sz="0" w:space="0" w:color="auto"/>
        <w:bottom w:val="none" w:sz="0" w:space="0" w:color="auto"/>
        <w:right w:val="none" w:sz="0" w:space="0" w:color="auto"/>
      </w:divBdr>
    </w:div>
    <w:div w:id="201702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82C71-F7C5-4B46-BBE0-85E04D37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3624</Words>
  <Characters>20660</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Najaf</dc:creator>
  <cp:lastModifiedBy>Anar_H</cp:lastModifiedBy>
  <cp:revision>2</cp:revision>
  <cp:lastPrinted>2018-09-13T12:15:00Z</cp:lastPrinted>
  <dcterms:created xsi:type="dcterms:W3CDTF">2019-08-29T06:38:00Z</dcterms:created>
  <dcterms:modified xsi:type="dcterms:W3CDTF">2019-08-29T06:38:00Z</dcterms:modified>
</cp:coreProperties>
</file>