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BD" w:rsidRPr="00B46079" w:rsidRDefault="000577BD" w:rsidP="00B4607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46079">
        <w:rPr>
          <w:rFonts w:ascii="Arial" w:hAnsi="Arial" w:cs="Arial"/>
          <w:b/>
          <w:sz w:val="28"/>
          <w:szCs w:val="28"/>
        </w:rPr>
        <w:t>AZƏRBAYCAN RESPUBLİKASI ADINDAN</w:t>
      </w:r>
    </w:p>
    <w:p w:rsidR="000577BD" w:rsidRPr="00B46079" w:rsidRDefault="000577BD" w:rsidP="00B4607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0577BD" w:rsidRPr="00B46079" w:rsidRDefault="000577BD" w:rsidP="00B4607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46079">
        <w:rPr>
          <w:rFonts w:ascii="Arial" w:hAnsi="Arial" w:cs="Arial"/>
          <w:b/>
          <w:sz w:val="28"/>
          <w:szCs w:val="28"/>
        </w:rPr>
        <w:t>Azərbaycan Respublikası</w:t>
      </w:r>
    </w:p>
    <w:p w:rsidR="000577BD" w:rsidRPr="00B46079" w:rsidRDefault="000577BD" w:rsidP="00B4607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B46079">
        <w:rPr>
          <w:rFonts w:ascii="Arial" w:hAnsi="Arial" w:cs="Arial"/>
          <w:b/>
          <w:sz w:val="28"/>
          <w:szCs w:val="28"/>
        </w:rPr>
        <w:t>Konstitusiya</w:t>
      </w:r>
      <w:proofErr w:type="spellEnd"/>
      <w:r w:rsidRPr="00B46079">
        <w:rPr>
          <w:rFonts w:ascii="Arial" w:hAnsi="Arial" w:cs="Arial"/>
          <w:b/>
          <w:sz w:val="28"/>
          <w:szCs w:val="28"/>
        </w:rPr>
        <w:t xml:space="preserve"> Məhkəməsi </w:t>
      </w:r>
      <w:proofErr w:type="spellStart"/>
      <w:r w:rsidRPr="00B46079">
        <w:rPr>
          <w:rFonts w:ascii="Arial" w:hAnsi="Arial" w:cs="Arial"/>
          <w:b/>
          <w:sz w:val="28"/>
          <w:szCs w:val="28"/>
        </w:rPr>
        <w:t>Plenumunun</w:t>
      </w:r>
      <w:proofErr w:type="spellEnd"/>
    </w:p>
    <w:p w:rsidR="000577BD" w:rsidRPr="00B46079" w:rsidRDefault="000577BD" w:rsidP="00B4607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0577BD" w:rsidRPr="00B46079" w:rsidRDefault="000577BD" w:rsidP="00B4607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46079">
        <w:rPr>
          <w:rFonts w:ascii="Arial" w:hAnsi="Arial" w:cs="Arial"/>
          <w:b/>
          <w:sz w:val="28"/>
          <w:szCs w:val="28"/>
        </w:rPr>
        <w:t>QƏRARI</w:t>
      </w:r>
    </w:p>
    <w:p w:rsidR="000577BD" w:rsidRPr="00B46079" w:rsidRDefault="000577BD" w:rsidP="00B46079">
      <w:pPr>
        <w:spacing w:after="120"/>
        <w:jc w:val="center"/>
        <w:rPr>
          <w:rFonts w:ascii="Arial" w:hAnsi="Arial" w:cs="Arial"/>
          <w:sz w:val="28"/>
          <w:szCs w:val="28"/>
        </w:rPr>
      </w:pPr>
    </w:p>
    <w:p w:rsidR="000577BD" w:rsidRPr="00B46079" w:rsidRDefault="000577BD" w:rsidP="00B46079">
      <w:pPr>
        <w:spacing w:after="120"/>
        <w:jc w:val="center"/>
        <w:rPr>
          <w:rFonts w:ascii="Arial" w:hAnsi="Arial" w:cs="Arial"/>
          <w:i/>
          <w:sz w:val="28"/>
          <w:szCs w:val="28"/>
        </w:rPr>
      </w:pPr>
      <w:r w:rsidRPr="00B46079">
        <w:rPr>
          <w:rFonts w:ascii="Arial" w:hAnsi="Arial" w:cs="Arial"/>
          <w:i/>
          <w:sz w:val="28"/>
          <w:szCs w:val="28"/>
        </w:rPr>
        <w:t xml:space="preserve">Azərbaycan Respublikası </w:t>
      </w:r>
      <w:proofErr w:type="spellStart"/>
      <w:r w:rsidRPr="00B46079">
        <w:rPr>
          <w:rFonts w:ascii="Arial" w:hAnsi="Arial" w:cs="Arial"/>
          <w:i/>
          <w:sz w:val="28"/>
          <w:szCs w:val="28"/>
        </w:rPr>
        <w:t>Mülki</w:t>
      </w:r>
      <w:proofErr w:type="spellEnd"/>
      <w:r w:rsidRPr="00B46079">
        <w:rPr>
          <w:rFonts w:ascii="Arial" w:hAnsi="Arial" w:cs="Arial"/>
          <w:i/>
          <w:sz w:val="28"/>
          <w:szCs w:val="28"/>
        </w:rPr>
        <w:t xml:space="preserve"> Məcəlləsinin 407.2-ci maddəsinin şərh edilməsinə </w:t>
      </w:r>
      <w:proofErr w:type="spellStart"/>
      <w:r w:rsidRPr="00B46079">
        <w:rPr>
          <w:rFonts w:ascii="Arial" w:hAnsi="Arial" w:cs="Arial"/>
          <w:i/>
          <w:sz w:val="28"/>
          <w:szCs w:val="28"/>
        </w:rPr>
        <w:t>dair</w:t>
      </w:r>
      <w:proofErr w:type="spellEnd"/>
    </w:p>
    <w:p w:rsidR="000577BD" w:rsidRPr="00B46079" w:rsidRDefault="000577BD" w:rsidP="00B46079">
      <w:pPr>
        <w:spacing w:after="120"/>
        <w:jc w:val="center"/>
        <w:rPr>
          <w:rFonts w:ascii="Arial" w:hAnsi="Arial" w:cs="Arial"/>
          <w:sz w:val="28"/>
          <w:szCs w:val="28"/>
        </w:rPr>
      </w:pPr>
    </w:p>
    <w:p w:rsidR="000577BD" w:rsidRDefault="000577BD" w:rsidP="00B46079">
      <w:pPr>
        <w:spacing w:after="12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B46079">
        <w:rPr>
          <w:rFonts w:ascii="Arial" w:hAnsi="Arial" w:cs="Arial"/>
          <w:b/>
          <w:sz w:val="28"/>
          <w:szCs w:val="28"/>
        </w:rPr>
        <w:t xml:space="preserve">12 </w:t>
      </w:r>
      <w:proofErr w:type="spellStart"/>
      <w:r w:rsidRPr="00B46079">
        <w:rPr>
          <w:rFonts w:ascii="Arial" w:hAnsi="Arial" w:cs="Arial"/>
          <w:b/>
          <w:sz w:val="28"/>
          <w:szCs w:val="28"/>
        </w:rPr>
        <w:t>avqust</w:t>
      </w:r>
      <w:proofErr w:type="spellEnd"/>
      <w:r w:rsidRPr="00B46079">
        <w:rPr>
          <w:rFonts w:ascii="Arial" w:hAnsi="Arial" w:cs="Arial"/>
          <w:b/>
          <w:sz w:val="28"/>
          <w:szCs w:val="28"/>
        </w:rPr>
        <w:t xml:space="preserve"> 2020-ci </w:t>
      </w:r>
      <w:proofErr w:type="spellStart"/>
      <w:r w:rsidRPr="00B46079">
        <w:rPr>
          <w:rFonts w:ascii="Arial" w:hAnsi="Arial" w:cs="Arial"/>
          <w:b/>
          <w:sz w:val="28"/>
          <w:szCs w:val="28"/>
        </w:rPr>
        <w:t>il</w:t>
      </w:r>
      <w:proofErr w:type="spellEnd"/>
      <w:r w:rsidRPr="00B46079">
        <w:rPr>
          <w:rFonts w:ascii="Arial" w:hAnsi="Arial" w:cs="Arial"/>
          <w:b/>
          <w:sz w:val="28"/>
          <w:szCs w:val="28"/>
        </w:rPr>
        <w:t>                                                       Bakı şəhəri</w:t>
      </w:r>
    </w:p>
    <w:p w:rsidR="00B46079" w:rsidRPr="00B46079" w:rsidRDefault="00B46079" w:rsidP="00B46079">
      <w:pPr>
        <w:spacing w:after="120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Azərbaycan Respublikası Konstitusiya Məhkəməsinin Plenumu Fərhad Abdullayev (sədr), Sona Salmanova, Südabə Həsənova, Rövşən İsmayılov, Ceyhun Qaracayev, Rafael Qvaladze, Mahir Muradov, İsa Nəcəfov və Kamran Şəfiyevdən (məruzəçi-hakim) ibarət tərkibdə, məhkəmə katibi Fəraid Əliyevin iştirakı ilə, Azərbaycan Respublikası Konstitusiyasının 130-cu maddəsinin VI hissəsinə, “Konstitusiya Məhkəməsi haqqında” Azərbaycan Respublikası Qanununun 27.2 və 33-cü maddələrinə və Azərbaycan Respublikası Konstitusiya Məhkəməsinin Daxili Nizamnaməsinin 39-cu maddəsinə müvafiq olaraq, xüsusi konstitusiya icraatının yazılı prosedur qaydasında keçirilən məhkəmə iclasında Bakı şəhəri Nəsimi Rayon Məhkəməsinin müraciəti əsasında Azərbaycan Respublikası Mülki Məcəlləsinin 407.2-ci maddəsinin şərh edilməsinə dair konstitusiya işinə baxdı.</w:t>
      </w:r>
    </w:p>
    <w:p w:rsidR="000577BD" w:rsidRPr="00B46079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proofErr w:type="spellStart"/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İş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üzrə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hakim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K.Şəfiyevin məruzəsini, maraqlı subyektlərin nümayəndələri Bakı şəhəri Nəsimi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Rayon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Məhkəməsinin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hakimi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R.Xəlilovun və Azərbaycan Respublikası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Milli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Məclisi Aparatının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İqtisadi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sosial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qanunvericilik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şöbəsinin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müdiri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M.Bazıqovun, mütəxəssislər Azərbaycan Respublikası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Ali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</w:t>
      </w:r>
      <w:proofErr w:type="gram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əhkəməsinin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Mülki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Kollegiyasının sədri S.Hacıyevin və Bakı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Apellyasiya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Məhkəməsinin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hakimi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R.Eyvazovun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yazılı mülahizələrini,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iş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materiallarını araşdırıb müzakirə edərək, Azərbaycan Respublikası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Konstitusiya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Məhkəməsinin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Plenumu</w:t>
      </w:r>
      <w:proofErr w:type="spellEnd"/>
    </w:p>
    <w:p w:rsidR="00251C3A" w:rsidRPr="000577BD" w:rsidRDefault="00251C3A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0577BD" w:rsidRPr="000577BD" w:rsidRDefault="000577BD" w:rsidP="00B46079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4607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MÜƏYYƏN  ETDİ:</w:t>
      </w:r>
    </w:p>
    <w:p w:rsidR="00251C3A" w:rsidRPr="00B46079" w:rsidRDefault="00251C3A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proofErr w:type="spellStart"/>
      <w:proofErr w:type="gram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lastRenderedPageBreak/>
        <w:t>Bakı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şəhəri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Nəsimi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Rayon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Məhkəməsi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Azərbaycan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Respublikasının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Konstitusiya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Məhkəməsinə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(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bundan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sonra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–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Konstitusiya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Məhkəməsi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)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müraciət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edərək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Azərbaycan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Respublikası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Mülki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Məcəlləsinin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(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bundan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sonra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–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Mülki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Məcəllə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) 407.2-ci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maddəsinin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şərh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edilməsini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xahiş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etmişdir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.</w:t>
      </w:r>
      <w:proofErr w:type="gramEnd"/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Müraciətdən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görünür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Ramiz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Daşdiyevlə “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Kapital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Bank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>” Açıq Səhmdar Cəmiyyəti (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bundan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sonra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– “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Kapital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Bank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” ASC) arasında 15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aprel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2020-ci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il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tarixli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kredit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müqaviləsi bağlanmış və həmin müqavilə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R.Daşdiyev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tərəfindən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banka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gedilmədən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elektron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sənəd m</w:t>
      </w:r>
      <w:proofErr w:type="gram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übadiləsi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yolu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ilə rəsmiləşdirilmişdir.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Sonradan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R.Daşdiyev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“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Kapital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Bank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” ASC-yə qarşı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kredit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müqaviləsinin etibarsız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hesab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edilməsi tələbinə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dair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iddia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ərizəsi ilə məhkəməyə müraciət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etmişdir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R.Daşdiyev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iddia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ərizəsini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onunla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əsaslandırmışdır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Mülki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Məcəllənin 407.2 və 740.2-ci maddələrində müəyyən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olunmuş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müqavilənin yazılı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formada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bağlanması qaydasına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bank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tərəfindən riayət edilməmişdir.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Bakı şəhəri Nəsimi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Rayon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Məhkəməsi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Mülki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Məcəllənin 407.2-ci maddəsinin “sadə yazılı müqavilə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müvafiq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qaydada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imzalandığı ...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andan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bağlanmış sayılır” müddəasının “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müvafiq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qaydada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imzalanma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” tələbinin mənasının şərh edilməsini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xahiş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etmişdir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Müraciətedən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Mülki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Məcəllənin 407.2-ci maddəsinə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dair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təcrübədə müxtəlif yanaşmaların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olduğunu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belə mübahisələrin həlli zamanı qeyri-müəyyənliyin yarandığını nəzərə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alaraq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vahid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məhkəmə təcrübəsinin formalaşdırılması məqsədi</w:t>
      </w:r>
      <w:proofErr w:type="gram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ilə qaldırılan məsələ üzrə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müvafiq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şərhin verilməsinin zəruriliyi qənaətinə gəlmişdir.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Konstitusiya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Məhkəməsinin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Plenumu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müraciətdə göstərilən məsələyə aydınlıq gətirilməsi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üçün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mülki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qanunvericiliyin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müqavilənin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mühüm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şərtləri, forması və bağlanması anını nəzərdə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tutan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müddəalarının əlaqəli şəkildə təhlil edilməsini zəruri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hesab</w:t>
      </w:r>
      <w:proofErr w:type="spellEnd"/>
      <w:proofErr w:type="gram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edir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Mülki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münasibətlərdə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hüquq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vəzifələrin əmələ gəlməsi,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qayda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olaraq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müqavilələrlə bağlıdır. </w:t>
      </w:r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Müqavilənin bağlanmış sayılması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üçün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tərəf qarşılıqlı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olaraq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müəyyən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hüquqi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nəticəni əmələ gətirmək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arzusunda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olmalı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buna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uyğun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mühüm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şərtləri özündə əks etdirən iradələrini bəyan etməlidirlər.</w:t>
      </w:r>
      <w:proofErr w:type="gram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Yəni müqavilənin bağlanması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üçün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tərəflərin razılaşdırılmış iradə ifadəsi olmalıdır (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Mülki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Məcəllənin 324-cü maddəsi).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Mülki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Məcəllənin 389.1-ci maddəsinə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müvafiq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olaraq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mülki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hüquq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vəzifələrin müəyyənləşdirilməsi, dəyişdirilməsi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xitamı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neçə şəxs arasında razılaşdırılmış müqavilə əsasında həyata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keçirilir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Mülki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Məcəllədə nəzərdə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tutulan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müqavilə növlərindən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biri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də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borc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müqaviləsidir.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Kredit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müqaviləsi qanunvericilikdə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borc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müqaviləsinin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növü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kimi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müəyyən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edilmişdir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Belə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Məcəllənin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borc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müqaviləsinin anlayışına aydınlıq gətirən 739.1-ci maddəsinə əsasən, iştirakçılardan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biri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577B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(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borc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verən)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pula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digər əvəz edilən əşyalara mülkiyyət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hüququnu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digər iştirakçıya (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borc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alana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) keçirməyi öhdəsinə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göt</w:t>
      </w:r>
      <w:proofErr w:type="gram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>ürür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>, digər iştirakçı (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borc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alan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) isə aldıqlarını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müvafiq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olaraq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pul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eyni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keyfiyyətdə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miqdarda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eyni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növlü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əşyalar şəklində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borc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verənə qaytarmağı öhdəsinə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götürür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Həmin Məcəllənin 739.2-ci maddəsinə görə isə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borc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müqaviləsinin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predmeti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hər hansı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pul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məbləği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olduqda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kredit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müqaviləsi adlandırılır.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Mülki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Məcəllənin 740-cı maddəsinə əsasən,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borc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müqaviləsi tərəflərin razılaşması ilə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şifahi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yazılı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formada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bağlanır.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Borc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müqaviləsi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predmetinin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məbləği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üç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min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manatdan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çoxdursa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məbləğindən asılı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olmayaraq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müqavilənin iştirakçısı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hüquqi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şəxsdirsə,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borc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müqaviləsi yazılı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formada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bağlanmalıdır.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Mülki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Məcəllənin 390-cı maddəsində müəyyən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edilmiş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müqavilə azadlığı Azərbaycan Respublikası Konstitusiyasının (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bundan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sonra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–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Konstitusiya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) 29-cu və həmin Məcəllənin 152.1-ci maddələrində nəzərdə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tutulmuş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mülkiyyət, eləcə də Konstitusiyanın 59-cu maddəsində təsbit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edilmiş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azad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sahibkarlıq h</w:t>
      </w:r>
      <w:proofErr w:type="gram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üquqlarının reallaşdırılması elementlərindən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biri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kimi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çıxış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edir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. Sözügedən müddəa ilə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fiziki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hüquqi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şəxslərə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azad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surətdə müqavilələr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bağlamaq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müqavilələrin məzmununu müəyyənləşdirmək təminatı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verilir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Müqavilə azadlığının məzmununu formalaşdıran elementlər sırasında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seçdiyi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kontragentlə müqavilə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bağlamaq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(və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bağlamamaq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),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onun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növü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formasını, habelə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bağlanan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müqavilənin şərtlərini,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cümlədən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müvafiq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qiymətləri müəyyən etmək azadlığını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qeyd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etmək</w:t>
      </w:r>
      <w:proofErr w:type="gram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olar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Konstitusiya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Məhkəməsi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Plenumunun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“Azərbaycan Respublikası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Mülki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Məcəlləsinin 399.3, 399.4, 445 və 449-cu maddələrinin bəzi müddəalarının şərh edilməsinə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dair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” 2014-cü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il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24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dekabr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tarixli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Qərarı).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Müqavilənin bağlanması anının dəqiq müəyyənləşdirilməsi müqavilə iştirakçılarının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mülki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hüquq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münasibətlərinin tənzimlənməsində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böyük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əhəmiyyətə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malikdir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. Məhz müqavilənin bağlandığı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andan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tərəflərin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konkret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hüquq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vəzifələri yaranmış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olur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Mülki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Məcəllənin 405.1-ci maddəsinə görə, tərəflər müqavilənin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bütün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mühüm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şərtləri barəsində tələb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olunan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formada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razılığa gəldikdə müqavilə bağlanmış sayılır. </w:t>
      </w:r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Müqavilənin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mühüm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şərtləri sırasına müqavilənin predmetinə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dair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şərtlər,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Məcəllədə həmin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növ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müqavilələr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üçün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mühüm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zəruri adlandırılmış şərtlər, habelə tərəflərdən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birinin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müraciəti ilə barəsində razılaşma</w:t>
      </w:r>
      <w:proofErr w:type="gram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əldə edilməli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bütün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şərtlər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daxildir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Müqavilənin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standart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şərtləri əvvəlcədən ifadə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edilmiş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dəfələrlə istifadə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üçün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nəzərdə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tutulan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elə şərtlərdir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bunları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tərəf (təklif edən) digər tərəfə təqdim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edir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əvvəlcədən müəyyənləşdirilmiş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normalardan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fərqlənən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normalar</w:t>
      </w:r>
      <w:proofErr w:type="gram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tamamlayan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qaydalar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onların vasitəsilə müəyyənləşdirilir (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Mülki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Məcəllənin 417.1-ci maddəsi).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Konstitusiya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Məhkəməsi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Plenumunun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yuxarıda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qeyd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olunan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Qərarında, həmçinin göstərilmişdir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öhdəlik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hüququnda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müqavilənin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standart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şərtlərinə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dair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normalarda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şəffaflıq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prinsipinin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tərkib hissəsi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kimi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müəyyənlik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prinsipi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(tələbi)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mövcuddur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Həmin prinsipə əsasən müqavilənin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standart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şərtlərində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dispozisiya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şərtləri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hüquqi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nəticələr elə dəqiqliklə təsvir olunmalıdır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zaman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tərəfdən müqavilənin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standart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şərtlərinin istifadəçisi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üçün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əsaslandırılmamış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heç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qiymətləndirmə azadlığı imkanları yaranmasın, digər</w:t>
      </w:r>
      <w:proofErr w:type="gram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tərəfdən isə müqavilə tərəfinin kənar yardım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olmadan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mümkün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qədər aydın və sadə şəkildə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öz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hüquqlarını müəyyənləşdirə bilməsi (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onun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hüquqları həyata keçirməsinin qarşısının alınmaması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üçün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)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mümkün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olsun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Müqavilənin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standart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şərtləri təfsir edilərkən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rast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gəlinən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bütün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qeyri-müəyyənliklər, onları özündə əks etdirən şərtlərin müqaviləyə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daxil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edilməsini təklif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etmiş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tərəfin ziyanına (əleyhinə) təfsir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edilir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Mülki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Məcəllənin 419.1, 419.2 və 420.1.2-ci madd</w:t>
      </w:r>
      <w:proofErr w:type="gram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>ə</w:t>
      </w:r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ləri).</w:t>
      </w:r>
      <w:proofErr w:type="gramEnd"/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Konstitusiya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Məhkəməsinin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Plenumu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“Azərbaycan Respublikası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Mülki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Məcəlləsinin 477.0.1-ci maddəsinin həmin Məcəllənin 470.2-ci maddəsi və “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İpoteka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haqqında” Azərbaycan Respublikası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Qanununun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1.0.8 və 10.5-ci maddələri, eləcə də Azərbaycan Respublikası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Mülki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Məcəlləsinin 269.11 və 307.4-c</w:t>
      </w:r>
      <w:proofErr w:type="gram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ü </w:t>
      </w:r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maddələrinin “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İpoteka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haqqında” Azərbaycan Respublikası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Qanununun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3.2 və 10.5-ci maddələri ilə əlaqəli şəkildə şərh edilməsinə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dair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” 2018-ci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il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31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may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tarixli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Qərarında belə nəticəyə gəlmişdir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məbləğ, müddət,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faiz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dərəcəsi,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valyuta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s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kimi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şərtlər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kredit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müqavil</w:t>
      </w:r>
      <w:proofErr w:type="gram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əsinin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mühüm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şərtləri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olmaqla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yanaşı,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qeyd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olunan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müqavilələrdə yetərli dərəcədə aydın göstərilməlidir.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Müqavilənin bağlanmış sayılması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üçün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tərəflərin təkcə müqavilənin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bütün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mühüm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şərtləri barəsində razılığa gəlmələri kifayət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etmir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Bunun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üçün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həm də tərəflərin razılığının tələb edilən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formada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ifadə olunması gərəkdir.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Mülki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Məcəllənin müqavilənin forması ilə bağlı qaydaları müəyyən edən 406-cı maddəsinə əsasən, müqavilə əqdlərin bağlanması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üçün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nəzərdə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tutulan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hər hansı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formada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bağlana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bilər,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şərtlə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Məcəllədə həmin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növ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müqavilə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üçün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müəyy</w:t>
      </w:r>
      <w:proofErr w:type="gram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>ə</w:t>
      </w:r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forma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təyin edilməsin. Əgər tərəflər müqaviləni müəyyən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formada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bağlamaq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barədə şərtləşiblərsə, həmin müqavilə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növü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üçün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Məcəllə ilə belə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forma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tələb edilməsə də, müqavilə şərtləşdirilmiş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formaya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salındıqdan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sonra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bağlanmış sayılır</w:t>
      </w:r>
      <w:proofErr w:type="gram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Yazılı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formada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müqavilə tərəflərin imzaladığı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sənədin tərtibi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yolu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ilə, habelə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poçt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teleqraf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teletayp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telefon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elektron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rabitəsi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sənədin müqavilə üzrə tərəfdən gəldiyini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dürüst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müəyyənləşdirməyə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imkan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verən digər rabitə vasitəsilə sənədl</w:t>
      </w:r>
      <w:proofErr w:type="gram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ər mübadiləsi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yolu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ilə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bağlana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bilər.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Mülki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Məcəllənin 407.2-ci maddəsinə əsasən, sadə yazılı müqavilə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müvafiq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qaydada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imzalandığı,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notarial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qaydada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təsdiq edilməli müqavilə isə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müvafiq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qaydada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təsdiq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edildiyi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andan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bağlanmış sayılır.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577BD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Yazılı formalı müqavilələr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üsulla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bağlanır.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Birinci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üsul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sənəd tərtib etməkdən ibarətdir. Sənəd tərtibi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yolu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ilə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bağlanan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müqavilə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onun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şərtlərini əks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etdirir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müqaviləni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bağlayan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tərəflər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onu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imzalayırlar. Tərəflərin vəkil etdikləri şəxslər də müqaviləni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imzalaya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bilərlər. </w:t>
      </w:r>
      <w:proofErr w:type="spellStart"/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Mülki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Məcəllənin 331.1-ci maddəsinə əsasən, yazılı əqd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onun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məzmununu ifadə edən və əqdi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bağlayan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şəxs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şəxslər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onların lazımınca vəkil etdikləri şəxslər tərəfindən imzalanmış sənədin tərtibi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yolu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ilə bağlanmalıdır.</w:t>
      </w:r>
      <w:proofErr w:type="gramEnd"/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İkinci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üsul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isə sənədlər mübadiləsindən ibarətdir. Sənədlər mübadiləsi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yolu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ilə müqavilə bağlanarkən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poçt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teleqraf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teletayp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telefon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elektron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digər rabitə vasitələrindən istifadə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edilir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. Yalnız zəruridir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həmin rabitə vasitələri sənədin müqavilə iştirakçısından (tərəfindən) gəlməsini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dürüst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müəyyənləşdirməyə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imkan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versin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Mülki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Məcəllənin 331.3-cü maddəsinə görə, əqdlərin bağlanması zamanı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mexaniki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başqa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surətçıxarma vasitələrinin köməyi ilə imzanın faksimilesindən,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elektron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imzadan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şəxsi imzanın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başqa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analoqundan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istifadə edilməsinə tərəflərin razılaşmasında nəzərd</w:t>
      </w:r>
      <w:proofErr w:type="gram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tutulan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hallarda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qaydada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yol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verilir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Elektron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imzadan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istifadə etmə qaydaları qanunvericiliklə müəyyən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edilir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“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Elektron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imza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elektron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sənəd haqqında” Azərbaycan Respublikasının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Qanunu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elektron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imzanın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elektron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sənədin istifadəsinin, onların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elektron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sənəd dövriyyəsində tətbiqinin təşkilati,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hüquqi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əsaslarını və əlaqədar subyektlərin hüquqlarını müəyyən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edir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aralarında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yaranan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münasibətl</w:t>
      </w:r>
      <w:proofErr w:type="gram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əri tənzimləyir. </w:t>
      </w:r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Həmin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Qanunun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3.2-ci maddəsinə əsasən, Azərbaycan Respublikasının qanunvericiliyində nəzərdə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tutulmuş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hallar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istisna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olmaqla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sertifikatlaşdırılmış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imza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vasitələri ilə yaradılmış və qüvvədə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təkmil sertifikatlı gücləndirilmiş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imza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əl imzası ilə bərabər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hüquqi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qüvvəyə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malikdir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Qeyd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etmək lazımdır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>, “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Elektron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ticarət haqqında” Azərbaycan Respublikası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Qanununda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bundan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sonra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– “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Elektron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ticarət haqqında”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Qanun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) əqdlərin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elektron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formada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bağlanması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nəzərdə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tutulmuşdur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Belə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>, “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Elektron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ticarət haqqında”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Qanunun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7-ci maddəsinə əsasən,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elektron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ticarətdə satıcı (təchizatçı) ilə alıcı (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sifarişçi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) arasında müqavilələr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elektron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sənəd formasında bağlanır. </w:t>
      </w:r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Müqavilə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bağlamaq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təklifi (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oferta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),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cümlədən qeyri-müəyyən şəxslər dairəsinə ünvanlanmış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oferta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ümumi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oferta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)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oferentin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özü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təkliflə bağlı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onun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adından hərəkət etmək səlahiyyəti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verilmiş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şəxs tərəfindən,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yaxud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onların proqramlaşdırdığı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avtomatik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fəaliyy</w:t>
      </w:r>
      <w:proofErr w:type="gram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ət göstərən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informasiya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sistemi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vasitəsilə göndərilə bilər. </w:t>
      </w:r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Müqavilənin şərtləri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xüsusi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biliyə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malik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olmayan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alıcı (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sifarişçi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) tərəfindən dəqiq və birmənalı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başa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düşülən şəkildə tərtib edilməlidir, həmçinin müqavilə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onunla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tanış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olmağa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onu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saxlamağa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imkan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verən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formada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hazırlanmalıdır.</w:t>
      </w:r>
      <w:proofErr w:type="gram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Müqavilənin bəzi şərtləri digər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elektron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sənədə istinadən verilə bilər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səbəbdən müqavilə etibarsız sayıla bilməz.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halda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577BD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satıcı (təchizatçı) müqavilənin qüvvədə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olduğu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müddətdə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istinad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olunan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elektron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sənədə çıxış imkanı təmin etməlidir. </w:t>
      </w:r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Müqavilə satıcının (təchizatçının)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ona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aksept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aldığı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andan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bağlanmış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hesab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olunur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. Əgər tərəflər arasındakı razılığa əsasən digər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hallar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nəzərdə tutulmamışdırsa,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elektron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sənədin qəbul edilməsinin təsdiqi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aksept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hesab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olunmur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Qeyd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olunan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normaların məzmunundan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göründüyü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kimi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yazılı əqdin bağlanmasında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vacib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şərtlərdən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biri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tərəflərin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onu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imzalamasıdır.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İmza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iradə bəyan edən şəxsi müəyyənləşdirməyə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imkan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verən işarədir. Yazılı sənəd tərtib edilərkən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orada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əks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olunan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iradənin məhz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müvafiq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şəxsə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aid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olması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qrafik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elektron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imza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ilə işarələnmiş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olur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. Məqsəd bəyan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olunan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iradənin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müvafiq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şəxsdən gəldiyini təyin etməkdir.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Beləliklə, yazılı müqavilələr aşağıdakı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qaydada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imzalanmaqla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bağlana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bilər: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- tərəflər,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onu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şəxsən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imzalamaqla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mexaniki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başqa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surətçıxarma vasitələrinin köməyi ilə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imzalanmaqla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(faksimiledən);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elektron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imzadan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istifadə etməklə;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- şəxsi imzanın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başqa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analoqundan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istifadə etməklə.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Mülki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Məcəllənin 406.3-cü maddəsinin “sənədin müqavilə üzrə tərəfdən gəldiyini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dürüst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müəyyənləşdirməyə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imkan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verən” müddəası müqavilə tərəfinə (xüsusilə də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bankdan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kredit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alan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istehlakçı sayılan şəxslərə) razılaşmanın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büt</w:t>
      </w:r>
      <w:proofErr w:type="gram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>ün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mühüm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şərtləri barədə ətraflı və aydın şəkildə məlumat verilməsini, həmin şəxsin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bunlarla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sərbəst tanış olmasını, razıdırsa,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şərtləri qəbul etməsini bildirmək imkanını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ehtiva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edir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Təhlil edilən normaların məzmunundan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göründüyü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kimi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qanunvericilikdə əqdin tərəflərin imzaladığı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sənədin tərtibi ilə, yəni şəxsən, bilavasitə imzalanması ilə yanaşı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onun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poçt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elektron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digər rabitə vasitələri ilə sənədlər mübadiləsi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yolu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ilə bağlanması imkanları t</w:t>
      </w:r>
      <w:proofErr w:type="gram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əsbit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edilmişdir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. Müqavilənin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elektron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vasitələrlə sənədlər mübadiləsi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yolu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ilə bağlanması,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sənədin tərtib edilməsi ilə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bağlanan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əqdlə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eyni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hüquqi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qüvvəyə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malikdir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Eyni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zamanda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qeyd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edilməlidir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Mülki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Məcəllənin 331.3-cü maddəsi ilə müəyyən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edilmiş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"Əqdlərin bağlanması zamanı ... şəxsi imzanın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başqa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analoqundan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istifadə edilməsinə tərəflərin razılaşmasında nəzərdə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tutulan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hallarda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qaydada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yol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verilir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>" müddəası həm bağlanması n</w:t>
      </w:r>
      <w:proofErr w:type="gram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əzərdə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tutulan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əqdlərin, həm də belə əqdlərin bağlanması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üçün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nəzərdə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tutulan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digər sənədlərin (əqdlərin) imzalanmasını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ehtiva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edə bilər.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Bununla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yanaşı,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Konstitusiya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Məhkəməsinin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Plenumu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qeyd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edir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Qərarda əks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olunmuş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hüquqi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mövqelər müqavilələrin bağlanması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üçün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qanunvericiliklə tələb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olunan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əlaqəli sənədlərin imzalanması ilə bağlı münasibətlərə də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şamil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edilir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. Həmin sənədlərin imzalanması zamanı </w:t>
      </w:r>
      <w:r w:rsidRPr="000577BD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tərəflərin iradəsi dəqiq, birmənalı, aydın və sui-istifadəni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istisna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edən şəkildə ifadə olunmalıdır.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Göstərilənlərə əsasən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Konstitusiya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Məhkəməsinin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Plenumu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aşağıdakı nəticəyə gəlir: 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Mülki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Məcəllənin 407.2-ci maddəsinin “sadə yazılı müqavilə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müvafiq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qaydada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imzalandığı ...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andan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bağlanmış sayılır” müddəasının “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müvafiq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qaydada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imzalanma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” tələbi tərəflərin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onu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şəxsən,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mexaniki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başqa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surətçıxarma vasitələrinin köməyi ilə imzan</w:t>
      </w:r>
      <w:proofErr w:type="gram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ın faksimilesindən,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elektron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imzadan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şəxsi imzanın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başqa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analoqundan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istifadə etməklə imzalamasını nəzərdə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tutur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Mexaniki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başqa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surətçıxarma vasitələrinin köməyi ilə imzanın faksimilesindən,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elektron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imzadan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şəxsi imzanın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başqa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analoqundan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istifadə etməklə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bağlanan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müqavilələrin şərtləri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mümkün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qədər aydın,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dürüst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başadüşülən olmalıdır.</w:t>
      </w:r>
      <w:proofErr w:type="gramEnd"/>
    </w:p>
    <w:p w:rsid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0577BD">
        <w:rPr>
          <w:rFonts w:ascii="Arial" w:eastAsia="Times New Roman" w:hAnsi="Arial" w:cs="Arial"/>
          <w:sz w:val="28"/>
          <w:szCs w:val="28"/>
          <w:lang w:eastAsia="ru-RU"/>
        </w:rPr>
        <w:t>Azərbaycan Respublikası Konstitusiyasının 130-cu maddəsinin VI hissəsini və “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Konstitusiya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Məhkəməsi haqqında” Azərbaycan Respublikası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Qanununun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60, 62, 63, 65-67 və 69-cu maddələrini rəhbər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tutaraq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, Azərbaycan Respublikası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Konstitusiya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Məhkəməsinin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Plenumu</w:t>
      </w:r>
      <w:proofErr w:type="spellEnd"/>
    </w:p>
    <w:p w:rsidR="00B46079" w:rsidRPr="000577BD" w:rsidRDefault="00B46079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0577BD" w:rsidRDefault="000577BD" w:rsidP="00B46079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4607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QƏRARA  ALDI:</w:t>
      </w:r>
    </w:p>
    <w:p w:rsidR="00B46079" w:rsidRPr="000577BD" w:rsidRDefault="00B46079" w:rsidP="00B46079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proofErr w:type="gram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1.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Azərbaycan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Respublikası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Mülki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Məcəlləsinin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407.2-ci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maddəsinin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“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sadə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yazılı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müqavilə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müvafiq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qaydada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imzalandığı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...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andan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bağlanmış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sayılır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”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müddəasının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“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müvafiq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qaydada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imzalanma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”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tələbi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tərəflərin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onu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şəxsən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mexaniki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və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başqa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surətçıxarma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vasitələrinin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köməyi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ilə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imzanın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faksimilesindən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elektron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imzadan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və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şəxsi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imzanın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başqa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analoqundan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istifadə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etməklə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imzalamasını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nəzərdə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tutur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val="en-US" w:eastAsia="ru-RU"/>
        </w:rPr>
        <w:t>.</w:t>
      </w:r>
      <w:proofErr w:type="gramEnd"/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proofErr w:type="gram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Mexaniki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başqa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surətçıxarma vasitələrinin köməyi ilə imzanın faksimilesindən,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elektron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imzadan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şəxsi imzanın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başqa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analoqundan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istifadə etməklə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bağlanan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müqavilələrin şərtləri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mümkün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qədər aydın,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dürüst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başadüşülən olmalıdır.</w:t>
      </w:r>
      <w:proofErr w:type="gramEnd"/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2. Qərar dərc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edildiyi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gündən qüvvəyə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minir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577BD">
        <w:rPr>
          <w:rFonts w:ascii="Arial" w:eastAsia="Times New Roman" w:hAnsi="Arial" w:cs="Arial"/>
          <w:sz w:val="28"/>
          <w:szCs w:val="28"/>
          <w:lang w:eastAsia="ru-RU"/>
        </w:rPr>
        <w:t>3. Qərar “Azərbaycan”, “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Respublika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>”, “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Xalq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qəzeti”, “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Bakinski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raboçi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” qəzetlərində və “Azərbaycan Respublikası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Konstitusiya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Məhkəməsinin Məlumatı”nda dərc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edilsin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577BD" w:rsidRPr="000577BD" w:rsidRDefault="000577BD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4. Qərar qətidir,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heç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bir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orqan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şəxs tərəfindən ləğv edilə, dəyişdirilə və </w:t>
      </w:r>
      <w:proofErr w:type="spellStart"/>
      <w:r w:rsidRPr="000577BD">
        <w:rPr>
          <w:rFonts w:ascii="Arial" w:eastAsia="Times New Roman" w:hAnsi="Arial" w:cs="Arial"/>
          <w:sz w:val="28"/>
          <w:szCs w:val="28"/>
          <w:lang w:eastAsia="ru-RU"/>
        </w:rPr>
        <w:t>ya</w:t>
      </w:r>
      <w:proofErr w:type="spellEnd"/>
      <w:r w:rsidRPr="000577BD">
        <w:rPr>
          <w:rFonts w:ascii="Arial" w:eastAsia="Times New Roman" w:hAnsi="Arial" w:cs="Arial"/>
          <w:sz w:val="28"/>
          <w:szCs w:val="28"/>
          <w:lang w:eastAsia="ru-RU"/>
        </w:rPr>
        <w:t xml:space="preserve"> rəsmi təfsir edilə bilməz.</w:t>
      </w:r>
    </w:p>
    <w:p w:rsidR="00B46079" w:rsidRDefault="00B46079" w:rsidP="00B46079">
      <w:pPr>
        <w:spacing w:after="120" w:line="240" w:lineRule="auto"/>
        <w:ind w:firstLine="567"/>
        <w:jc w:val="both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</w:p>
    <w:p w:rsidR="007D204B" w:rsidRPr="00B46079" w:rsidRDefault="000577BD" w:rsidP="00B46079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607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Sədr        </w:t>
      </w:r>
      <w:r w:rsidR="00251C3A" w:rsidRPr="00B46079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 xml:space="preserve">                          </w:t>
      </w:r>
      <w:r w:rsidRPr="00B4607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      Fərhad </w:t>
      </w:r>
      <w:proofErr w:type="spellStart"/>
      <w:r w:rsidRPr="00B4607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Abdullayev</w:t>
      </w:r>
      <w:proofErr w:type="spellEnd"/>
    </w:p>
    <w:sectPr w:rsidR="007D204B" w:rsidRPr="00B46079" w:rsidSect="007D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7BD"/>
    <w:rsid w:val="000577BD"/>
    <w:rsid w:val="00251C3A"/>
    <w:rsid w:val="007D204B"/>
    <w:rsid w:val="00B4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4B"/>
  </w:style>
  <w:style w:type="paragraph" w:styleId="1">
    <w:name w:val="heading 1"/>
    <w:basedOn w:val="a"/>
    <w:link w:val="10"/>
    <w:uiPriority w:val="9"/>
    <w:qFormat/>
    <w:rsid w:val="00057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7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7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2593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WINDESIGN</dc:creator>
  <cp:lastModifiedBy>WINDESIGN</cp:lastModifiedBy>
  <cp:revision>2</cp:revision>
  <dcterms:created xsi:type="dcterms:W3CDTF">2020-08-24T15:09:00Z</dcterms:created>
  <dcterms:modified xsi:type="dcterms:W3CDTF">2020-08-24T15:21:00Z</dcterms:modified>
</cp:coreProperties>
</file>